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hAnsi="宋体" w:eastAsia="仿宋_GB2312" w:cs="黑体"/>
          <w:b/>
          <w:spacing w:val="20"/>
          <w:w w:val="105"/>
          <w:sz w:val="36"/>
          <w:szCs w:val="36"/>
        </w:rPr>
      </w:pPr>
      <w:r>
        <w:rPr>
          <w:rFonts w:hint="eastAsia" w:ascii="仿宋_GB2312" w:hAnsi="宋体" w:eastAsia="仿宋_GB2312" w:cs="黑体"/>
          <w:b/>
          <w:spacing w:val="20"/>
          <w:w w:val="105"/>
          <w:sz w:val="36"/>
          <w:szCs w:val="36"/>
          <w:lang w:eastAsia="zh-CN"/>
        </w:rPr>
        <w:t>朝阳市</w:t>
      </w:r>
      <w:r>
        <w:rPr>
          <w:rFonts w:hint="eastAsia" w:ascii="仿宋_GB2312" w:hAnsi="宋体" w:eastAsia="仿宋_GB2312" w:cs="黑体"/>
          <w:b/>
          <w:spacing w:val="20"/>
          <w:w w:val="105"/>
          <w:sz w:val="36"/>
          <w:szCs w:val="36"/>
          <w:lang w:val="en-US" w:eastAsia="zh-CN"/>
        </w:rPr>
        <w:t>2020年</w:t>
      </w:r>
      <w:r>
        <w:rPr>
          <w:rFonts w:hint="eastAsia" w:ascii="仿宋_GB2312" w:hAnsi="宋体" w:eastAsia="仿宋_GB2312" w:cs="黑体"/>
          <w:b/>
          <w:spacing w:val="20"/>
          <w:w w:val="105"/>
          <w:sz w:val="36"/>
          <w:szCs w:val="36"/>
        </w:rPr>
        <w:t>机制砂产品质量监督</w:t>
      </w:r>
    </w:p>
    <w:p>
      <w:pPr>
        <w:jc w:val="center"/>
        <w:rPr>
          <w:rFonts w:ascii="仿宋_GB2312" w:hAnsi="宋体" w:eastAsia="仿宋_GB2312" w:cs="黑体"/>
          <w:b/>
          <w:spacing w:val="20"/>
          <w:w w:val="105"/>
          <w:sz w:val="36"/>
          <w:szCs w:val="36"/>
        </w:rPr>
      </w:pPr>
      <w:r>
        <w:rPr>
          <w:rFonts w:hint="eastAsia" w:ascii="仿宋_GB2312" w:hAnsi="宋体" w:eastAsia="仿宋_GB2312" w:cs="黑体"/>
          <w:b/>
          <w:spacing w:val="20"/>
          <w:w w:val="105"/>
          <w:sz w:val="36"/>
          <w:szCs w:val="36"/>
        </w:rPr>
        <w:t>抽查实施细则</w:t>
      </w:r>
    </w:p>
    <w:p>
      <w:pPr>
        <w:jc w:val="center"/>
        <w:rPr>
          <w:rFonts w:ascii="黑体" w:hAnsi="宋体" w:eastAsia="黑体"/>
          <w:szCs w:val="32"/>
        </w:rPr>
      </w:pPr>
    </w:p>
    <w:p>
      <w:pPr>
        <w:spacing w:line="360" w:lineRule="auto"/>
        <w:ind w:firstLine="562" w:firstLineChars="200"/>
        <w:jc w:val="left"/>
        <w:rPr>
          <w:rFonts w:ascii="仿宋_GB2312" w:eastAsia="仿宋_GB2312"/>
          <w:b/>
          <w:sz w:val="28"/>
          <w:szCs w:val="28"/>
        </w:rPr>
      </w:pPr>
      <w:r>
        <w:rPr>
          <w:rFonts w:hint="eastAsia" w:ascii="仿宋_GB2312" w:eastAsia="仿宋_GB2312"/>
          <w:b/>
          <w:sz w:val="28"/>
          <w:szCs w:val="28"/>
        </w:rPr>
        <w:t>1 适用范围</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本细则适用于</w:t>
      </w:r>
      <w:r>
        <w:rPr>
          <w:rFonts w:hint="eastAsia" w:ascii="仿宋_GB2312" w:hAnsi="宋体" w:eastAsia="仿宋_GB2312"/>
          <w:sz w:val="28"/>
          <w:szCs w:val="28"/>
          <w:lang w:eastAsia="zh-CN"/>
        </w:rPr>
        <w:t>朝阳市</w:t>
      </w:r>
      <w:r>
        <w:rPr>
          <w:rFonts w:hint="eastAsia" w:ascii="仿宋_GB2312" w:hAnsi="宋体" w:eastAsia="仿宋_GB2312"/>
          <w:sz w:val="28"/>
          <w:szCs w:val="28"/>
        </w:rPr>
        <w:t>机制砂产品质量监督抽查，针对特殊情况的专项抽查、</w:t>
      </w:r>
      <w:r>
        <w:rPr>
          <w:rFonts w:hint="eastAsia" w:ascii="仿宋_GB2312" w:hAnsi="宋体" w:eastAsia="仿宋_GB2312"/>
          <w:sz w:val="28"/>
          <w:szCs w:val="28"/>
          <w:lang w:eastAsia="zh-CN"/>
        </w:rPr>
        <w:t>朝阳市</w:t>
      </w:r>
      <w:r>
        <w:rPr>
          <w:rFonts w:hint="eastAsia" w:ascii="仿宋_GB2312" w:hAnsi="宋体" w:eastAsia="仿宋_GB2312"/>
          <w:sz w:val="28"/>
          <w:szCs w:val="28"/>
        </w:rPr>
        <w:t>内县级以上地方市场监督管理部门组织的地方监督抽查可参照执行。本细则内容包括产品分类、术语和定义、企业产品生产规模划分、检验依据、抽样、检验要求、判定原则、异议处理及附则。</w:t>
      </w:r>
    </w:p>
    <w:p>
      <w:pPr>
        <w:spacing w:line="360" w:lineRule="auto"/>
        <w:ind w:firstLine="562" w:firstLineChars="200"/>
        <w:jc w:val="left"/>
        <w:rPr>
          <w:rFonts w:ascii="仿宋_GB2312" w:eastAsia="仿宋_GB2312"/>
          <w:sz w:val="28"/>
          <w:szCs w:val="28"/>
        </w:rPr>
      </w:pPr>
      <w:r>
        <w:rPr>
          <w:rFonts w:hint="eastAsia" w:ascii="仿宋_GB2312" w:eastAsia="仿宋_GB2312"/>
          <w:b/>
          <w:sz w:val="28"/>
          <w:szCs w:val="28"/>
        </w:rPr>
        <w:t>2 产品分类</w:t>
      </w:r>
    </w:p>
    <w:p>
      <w:pPr>
        <w:spacing w:line="360" w:lineRule="auto"/>
        <w:ind w:firstLine="560" w:firstLineChars="200"/>
        <w:jc w:val="left"/>
        <w:rPr>
          <w:rFonts w:ascii="仿宋_GB2312" w:hAnsi="宋体" w:eastAsia="仿宋_GB2312"/>
          <w:sz w:val="28"/>
          <w:szCs w:val="28"/>
        </w:rPr>
      </w:pPr>
      <w:r>
        <w:rPr>
          <w:rFonts w:hint="eastAsia" w:ascii="仿宋_GB2312" w:eastAsia="仿宋_GB2312"/>
          <w:sz w:val="28"/>
          <w:szCs w:val="28"/>
        </w:rPr>
        <w:t>2.1 产品分类及代码见表1。</w:t>
      </w:r>
    </w:p>
    <w:p>
      <w:pPr>
        <w:adjustRightInd w:val="0"/>
        <w:snapToGrid w:val="0"/>
        <w:spacing w:line="560" w:lineRule="exact"/>
        <w:jc w:val="center"/>
        <w:rPr>
          <w:rFonts w:ascii="宋体" w:hAnsi="宋体" w:cs="宋体"/>
          <w:szCs w:val="21"/>
        </w:rPr>
      </w:pPr>
      <w:r>
        <w:rPr>
          <w:rFonts w:hint="eastAsia" w:ascii="仿宋_GB2312" w:eastAsia="仿宋_GB2312"/>
          <w:sz w:val="28"/>
          <w:szCs w:val="28"/>
        </w:rPr>
        <w:t>表</w:t>
      </w:r>
      <w:r>
        <w:rPr>
          <w:rFonts w:ascii="仿宋_GB2312" w:eastAsia="仿宋_GB2312"/>
          <w:sz w:val="28"/>
          <w:szCs w:val="28"/>
        </w:rPr>
        <w:t xml:space="preserve">1  </w:t>
      </w:r>
      <w:r>
        <w:rPr>
          <w:rFonts w:hint="eastAsia" w:ascii="仿宋_GB2312" w:eastAsia="仿宋_GB2312"/>
          <w:sz w:val="28"/>
          <w:szCs w:val="28"/>
        </w:rPr>
        <w:t>产品分类及代码</w:t>
      </w:r>
    </w:p>
    <w:tbl>
      <w:tblPr>
        <w:tblStyle w:val="6"/>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1"/>
        <w:gridCol w:w="2163"/>
        <w:gridCol w:w="2373"/>
        <w:gridCol w:w="27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jc w:val="center"/>
        </w:trPr>
        <w:tc>
          <w:tcPr>
            <w:tcW w:w="1465" w:type="dxa"/>
            <w:vAlign w:val="center"/>
          </w:tcPr>
          <w:p>
            <w:pPr>
              <w:snapToGrid w:val="0"/>
              <w:spacing w:line="360" w:lineRule="exact"/>
              <w:jc w:val="center"/>
              <w:rPr>
                <w:rFonts w:ascii="宋体" w:hAnsi="宋体" w:cs="宋体"/>
                <w:szCs w:val="21"/>
              </w:rPr>
            </w:pPr>
            <w:r>
              <w:rPr>
                <w:rFonts w:hint="eastAsia" w:ascii="宋体" w:hAnsi="宋体" w:cs="宋体"/>
                <w:szCs w:val="21"/>
              </w:rPr>
              <w:t>产品分类</w:t>
            </w:r>
          </w:p>
        </w:tc>
        <w:tc>
          <w:tcPr>
            <w:tcW w:w="2042" w:type="dxa"/>
            <w:vAlign w:val="center"/>
          </w:tcPr>
          <w:p>
            <w:pPr>
              <w:snapToGrid w:val="0"/>
              <w:spacing w:line="360" w:lineRule="exact"/>
              <w:jc w:val="center"/>
              <w:rPr>
                <w:rFonts w:ascii="宋体" w:hAnsi="宋体" w:cs="宋体"/>
                <w:szCs w:val="21"/>
              </w:rPr>
            </w:pPr>
            <w:r>
              <w:rPr>
                <w:rFonts w:hint="eastAsia" w:ascii="宋体" w:hAnsi="宋体" w:cs="宋体"/>
                <w:szCs w:val="21"/>
              </w:rPr>
              <w:t>一级分类</w:t>
            </w:r>
          </w:p>
        </w:tc>
        <w:tc>
          <w:tcPr>
            <w:tcW w:w="2240" w:type="dxa"/>
            <w:vAlign w:val="center"/>
          </w:tcPr>
          <w:p>
            <w:pPr>
              <w:snapToGrid w:val="0"/>
              <w:spacing w:line="360" w:lineRule="exact"/>
              <w:jc w:val="center"/>
              <w:rPr>
                <w:rFonts w:ascii="宋体" w:hAnsi="宋体" w:cs="宋体"/>
                <w:szCs w:val="21"/>
              </w:rPr>
            </w:pPr>
            <w:r>
              <w:rPr>
                <w:rFonts w:hint="eastAsia" w:ascii="宋体" w:hAnsi="宋体" w:cs="宋体"/>
                <w:szCs w:val="21"/>
              </w:rPr>
              <w:t>二级分类</w:t>
            </w:r>
          </w:p>
        </w:tc>
        <w:tc>
          <w:tcPr>
            <w:tcW w:w="2551" w:type="dxa"/>
            <w:vAlign w:val="center"/>
          </w:tcPr>
          <w:p>
            <w:pPr>
              <w:snapToGrid w:val="0"/>
              <w:spacing w:line="360" w:lineRule="exact"/>
              <w:jc w:val="center"/>
              <w:rPr>
                <w:rFonts w:ascii="宋体" w:hAnsi="宋体" w:cs="宋体"/>
                <w:szCs w:val="21"/>
              </w:rPr>
            </w:pPr>
            <w:r>
              <w:rPr>
                <w:rFonts w:hint="eastAsia" w:ascii="宋体" w:hAnsi="宋体" w:cs="宋体"/>
                <w:szCs w:val="21"/>
              </w:rPr>
              <w:t>三级分类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465" w:type="dxa"/>
            <w:vAlign w:val="center"/>
          </w:tcPr>
          <w:p>
            <w:pPr>
              <w:snapToGrid w:val="0"/>
              <w:spacing w:line="360" w:lineRule="exact"/>
              <w:jc w:val="center"/>
              <w:rPr>
                <w:rFonts w:ascii="宋体" w:hAnsi="宋体" w:cs="宋体"/>
                <w:szCs w:val="21"/>
              </w:rPr>
            </w:pPr>
            <w:r>
              <w:rPr>
                <w:rFonts w:hint="eastAsia" w:ascii="宋体" w:hAnsi="宋体" w:cs="宋体"/>
                <w:szCs w:val="21"/>
              </w:rPr>
              <w:t>分类代码</w:t>
            </w:r>
          </w:p>
        </w:tc>
        <w:tc>
          <w:tcPr>
            <w:tcW w:w="2042" w:type="dxa"/>
            <w:vAlign w:val="center"/>
          </w:tcPr>
          <w:p>
            <w:pPr>
              <w:snapToGrid w:val="0"/>
              <w:spacing w:line="360" w:lineRule="exact"/>
              <w:jc w:val="center"/>
              <w:rPr>
                <w:rFonts w:ascii="宋体" w:hAnsi="宋体" w:cs="宋体"/>
                <w:szCs w:val="21"/>
              </w:rPr>
            </w:pPr>
            <w:r>
              <w:rPr>
                <w:rFonts w:hint="eastAsia" w:ascii="宋体" w:hAnsi="宋体" w:cs="宋体"/>
                <w:szCs w:val="21"/>
              </w:rPr>
              <w:t>4</w:t>
            </w:r>
          </w:p>
        </w:tc>
        <w:tc>
          <w:tcPr>
            <w:tcW w:w="2240" w:type="dxa"/>
            <w:vAlign w:val="center"/>
          </w:tcPr>
          <w:p>
            <w:pPr>
              <w:snapToGrid w:val="0"/>
              <w:spacing w:line="360" w:lineRule="exact"/>
              <w:jc w:val="center"/>
              <w:rPr>
                <w:rFonts w:ascii="宋体" w:hAnsi="宋体" w:cs="宋体"/>
                <w:szCs w:val="21"/>
              </w:rPr>
            </w:pPr>
            <w:r>
              <w:rPr>
                <w:rFonts w:hint="eastAsia" w:ascii="宋体" w:hAnsi="宋体" w:cs="宋体"/>
                <w:szCs w:val="21"/>
              </w:rPr>
              <w:t>408</w:t>
            </w:r>
          </w:p>
        </w:tc>
        <w:tc>
          <w:tcPr>
            <w:tcW w:w="2551" w:type="dxa"/>
            <w:vAlign w:val="center"/>
          </w:tcPr>
          <w:p>
            <w:pPr>
              <w:snapToGrid w:val="0"/>
              <w:spacing w:line="360" w:lineRule="exact"/>
              <w:jc w:val="center"/>
              <w:rPr>
                <w:rFonts w:ascii="宋体" w:hAnsi="宋体" w:cs="宋体"/>
                <w:szCs w:val="21"/>
              </w:rPr>
            </w:pP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1465" w:type="dxa"/>
            <w:vAlign w:val="center"/>
          </w:tcPr>
          <w:p>
            <w:pPr>
              <w:snapToGrid w:val="0"/>
              <w:spacing w:line="360" w:lineRule="exact"/>
              <w:jc w:val="center"/>
              <w:rPr>
                <w:rFonts w:ascii="宋体" w:hAnsi="宋体" w:cs="宋体"/>
                <w:szCs w:val="21"/>
              </w:rPr>
            </w:pPr>
            <w:r>
              <w:rPr>
                <w:rFonts w:hint="eastAsia" w:ascii="宋体" w:hAnsi="宋体" w:cs="宋体"/>
                <w:szCs w:val="21"/>
              </w:rPr>
              <w:t>分类名称</w:t>
            </w:r>
          </w:p>
        </w:tc>
        <w:tc>
          <w:tcPr>
            <w:tcW w:w="2042" w:type="dxa"/>
            <w:vAlign w:val="center"/>
          </w:tcPr>
          <w:p>
            <w:pPr>
              <w:snapToGrid w:val="0"/>
              <w:spacing w:line="360" w:lineRule="exact"/>
              <w:jc w:val="center"/>
              <w:rPr>
                <w:rFonts w:ascii="宋体" w:hAnsi="宋体" w:cs="宋体"/>
                <w:szCs w:val="21"/>
              </w:rPr>
            </w:pPr>
            <w:r>
              <w:rPr>
                <w:rFonts w:hint="eastAsia" w:ascii="宋体" w:hAnsi="宋体" w:cs="宋体"/>
                <w:szCs w:val="21"/>
              </w:rPr>
              <w:t>建筑和装饰装修材料</w:t>
            </w:r>
          </w:p>
        </w:tc>
        <w:tc>
          <w:tcPr>
            <w:tcW w:w="2240" w:type="dxa"/>
            <w:vAlign w:val="center"/>
          </w:tcPr>
          <w:p>
            <w:pPr>
              <w:snapToGrid w:val="0"/>
              <w:spacing w:line="360" w:lineRule="exact"/>
              <w:jc w:val="center"/>
              <w:rPr>
                <w:rFonts w:ascii="宋体" w:hAnsi="宋体" w:cs="宋体"/>
                <w:szCs w:val="21"/>
              </w:rPr>
            </w:pPr>
            <w:r>
              <w:rPr>
                <w:rFonts w:hint="eastAsia" w:ascii="宋体" w:hAnsi="宋体" w:cs="宋体"/>
                <w:szCs w:val="21"/>
              </w:rPr>
              <w:t>机制砂</w:t>
            </w:r>
          </w:p>
        </w:tc>
        <w:tc>
          <w:tcPr>
            <w:tcW w:w="2551" w:type="dxa"/>
            <w:vAlign w:val="center"/>
          </w:tcPr>
          <w:p>
            <w:pPr>
              <w:snapToGrid w:val="0"/>
              <w:spacing w:line="360" w:lineRule="exact"/>
              <w:jc w:val="center"/>
              <w:rPr>
                <w:rFonts w:ascii="宋体" w:hAnsi="宋体" w:cs="宋体"/>
                <w:szCs w:val="21"/>
              </w:rPr>
            </w:pPr>
            <w:r>
              <w:rPr>
                <w:rFonts w:hint="eastAsia" w:ascii="宋体" w:hAnsi="宋体" w:cs="宋体"/>
                <w:szCs w:val="21"/>
              </w:rPr>
              <w:t>——</w:t>
            </w:r>
          </w:p>
        </w:tc>
      </w:tr>
    </w:tbl>
    <w:p>
      <w:pPr>
        <w:adjustRightInd w:val="0"/>
        <w:snapToGrid w:val="0"/>
        <w:spacing w:line="360" w:lineRule="auto"/>
        <w:ind w:firstLine="560" w:firstLineChars="200"/>
        <w:rPr>
          <w:rFonts w:ascii="仿宋_GB2312" w:eastAsia="仿宋_GB2312"/>
          <w:sz w:val="28"/>
          <w:szCs w:val="28"/>
        </w:rPr>
      </w:pPr>
      <w:r>
        <w:rPr>
          <w:rFonts w:hint="eastAsia" w:ascii="仿宋_GB2312" w:eastAsia="仿宋_GB2312"/>
          <w:sz w:val="28"/>
          <w:szCs w:val="28"/>
        </w:rPr>
        <w:t>2.2产品种类</w:t>
      </w:r>
    </w:p>
    <w:p>
      <w:pPr>
        <w:adjustRightInd w:val="0"/>
        <w:snapToGrid w:val="0"/>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按细度模数分为粗砂、中砂、细砂；</w:t>
      </w:r>
    </w:p>
    <w:p>
      <w:pPr>
        <w:adjustRightInd w:val="0"/>
        <w:snapToGrid w:val="0"/>
        <w:spacing w:line="360" w:lineRule="auto"/>
        <w:ind w:firstLine="560" w:firstLineChars="200"/>
        <w:rPr>
          <w:rFonts w:ascii="仿宋_GB2312" w:eastAsia="仿宋_GB2312"/>
          <w:sz w:val="28"/>
          <w:szCs w:val="28"/>
        </w:rPr>
      </w:pPr>
      <w:r>
        <w:rPr>
          <w:rFonts w:hint="eastAsia" w:ascii="仿宋_GB2312" w:hAnsi="宋体" w:eastAsia="仿宋_GB2312"/>
          <w:sz w:val="28"/>
          <w:szCs w:val="28"/>
        </w:rPr>
        <w:t>按技术要求分为</w:t>
      </w:r>
      <w:r>
        <w:rPr>
          <w:rFonts w:ascii="仿宋_GB2312" w:hAnsi="宋体" w:eastAsia="仿宋_GB2312"/>
          <w:sz w:val="28"/>
          <w:szCs w:val="28"/>
        </w:rPr>
        <w:fldChar w:fldCharType="begin"/>
      </w:r>
      <w:r>
        <w:rPr>
          <w:rFonts w:hint="eastAsia" w:ascii="仿宋_GB2312" w:hAnsi="宋体" w:eastAsia="仿宋_GB2312"/>
          <w:sz w:val="28"/>
          <w:szCs w:val="28"/>
        </w:rPr>
        <w:instrText xml:space="preserve">= 1 \* ROMAN</w:instrText>
      </w:r>
      <w:r>
        <w:rPr>
          <w:rFonts w:ascii="仿宋_GB2312" w:hAnsi="宋体" w:eastAsia="仿宋_GB2312"/>
          <w:sz w:val="28"/>
          <w:szCs w:val="28"/>
        </w:rPr>
        <w:fldChar w:fldCharType="separate"/>
      </w:r>
      <w:r>
        <w:rPr>
          <w:rFonts w:ascii="仿宋_GB2312" w:hAnsi="宋体" w:eastAsia="仿宋_GB2312"/>
          <w:sz w:val="28"/>
          <w:szCs w:val="28"/>
        </w:rPr>
        <w:t>I</w:t>
      </w:r>
      <w:r>
        <w:rPr>
          <w:rFonts w:ascii="仿宋_GB2312" w:hAnsi="宋体" w:eastAsia="仿宋_GB2312"/>
          <w:sz w:val="28"/>
          <w:szCs w:val="28"/>
        </w:rPr>
        <w:fldChar w:fldCharType="end"/>
      </w:r>
      <w:r>
        <w:rPr>
          <w:rFonts w:hint="eastAsia" w:ascii="仿宋_GB2312" w:hAnsi="宋体" w:eastAsia="仿宋_GB2312"/>
          <w:sz w:val="28"/>
          <w:szCs w:val="28"/>
        </w:rPr>
        <w:t>类，</w:t>
      </w:r>
      <w:r>
        <w:rPr>
          <w:rFonts w:ascii="仿宋_GB2312" w:hAnsi="宋体" w:eastAsia="仿宋_GB2312"/>
          <w:sz w:val="28"/>
          <w:szCs w:val="28"/>
        </w:rPr>
        <w:fldChar w:fldCharType="begin"/>
      </w:r>
      <w:r>
        <w:rPr>
          <w:rFonts w:hint="eastAsia" w:ascii="仿宋_GB2312" w:hAnsi="宋体" w:eastAsia="仿宋_GB2312"/>
          <w:sz w:val="28"/>
          <w:szCs w:val="28"/>
        </w:rPr>
        <w:instrText xml:space="preserve">= 2 \* ROMAN</w:instrText>
      </w:r>
      <w:r>
        <w:rPr>
          <w:rFonts w:ascii="仿宋_GB2312" w:hAnsi="宋体" w:eastAsia="仿宋_GB2312"/>
          <w:sz w:val="28"/>
          <w:szCs w:val="28"/>
        </w:rPr>
        <w:fldChar w:fldCharType="separate"/>
      </w:r>
      <w:r>
        <w:rPr>
          <w:rFonts w:ascii="仿宋_GB2312" w:hAnsi="宋体" w:eastAsia="仿宋_GB2312"/>
          <w:sz w:val="28"/>
          <w:szCs w:val="28"/>
        </w:rPr>
        <w:t>II</w:t>
      </w:r>
      <w:r>
        <w:rPr>
          <w:rFonts w:ascii="仿宋_GB2312" w:hAnsi="宋体" w:eastAsia="仿宋_GB2312"/>
          <w:sz w:val="28"/>
          <w:szCs w:val="28"/>
        </w:rPr>
        <w:fldChar w:fldCharType="end"/>
      </w:r>
      <w:r>
        <w:rPr>
          <w:rFonts w:hint="eastAsia" w:ascii="仿宋_GB2312" w:hAnsi="宋体" w:eastAsia="仿宋_GB2312"/>
          <w:sz w:val="28"/>
          <w:szCs w:val="28"/>
        </w:rPr>
        <w:t>类，</w:t>
      </w:r>
      <w:r>
        <w:rPr>
          <w:rFonts w:ascii="仿宋_GB2312" w:hAnsi="宋体" w:eastAsia="仿宋_GB2312"/>
          <w:sz w:val="28"/>
          <w:szCs w:val="28"/>
        </w:rPr>
        <w:fldChar w:fldCharType="begin"/>
      </w:r>
      <w:r>
        <w:rPr>
          <w:rFonts w:hint="eastAsia" w:ascii="仿宋_GB2312" w:hAnsi="宋体" w:eastAsia="仿宋_GB2312"/>
          <w:sz w:val="28"/>
          <w:szCs w:val="28"/>
        </w:rPr>
        <w:instrText xml:space="preserve">= 3 \* ROMAN</w:instrText>
      </w:r>
      <w:r>
        <w:rPr>
          <w:rFonts w:ascii="仿宋_GB2312" w:hAnsi="宋体" w:eastAsia="仿宋_GB2312"/>
          <w:sz w:val="28"/>
          <w:szCs w:val="28"/>
        </w:rPr>
        <w:fldChar w:fldCharType="separate"/>
      </w:r>
      <w:r>
        <w:rPr>
          <w:rFonts w:ascii="仿宋_GB2312" w:hAnsi="宋体" w:eastAsia="仿宋_GB2312"/>
          <w:sz w:val="28"/>
          <w:szCs w:val="28"/>
        </w:rPr>
        <w:t>III</w:t>
      </w:r>
      <w:r>
        <w:rPr>
          <w:rFonts w:ascii="仿宋_GB2312" w:hAnsi="宋体" w:eastAsia="仿宋_GB2312"/>
          <w:sz w:val="28"/>
          <w:szCs w:val="28"/>
        </w:rPr>
        <w:fldChar w:fldCharType="end"/>
      </w:r>
      <w:r>
        <w:rPr>
          <w:rFonts w:hint="eastAsia" w:ascii="仿宋_GB2312" w:hAnsi="宋体" w:eastAsia="仿宋_GB2312"/>
          <w:sz w:val="28"/>
          <w:szCs w:val="28"/>
        </w:rPr>
        <w:t>类。</w:t>
      </w:r>
    </w:p>
    <w:p>
      <w:pPr>
        <w:adjustRightInd w:val="0"/>
        <w:snapToGrid w:val="0"/>
        <w:spacing w:line="360" w:lineRule="auto"/>
        <w:ind w:firstLine="560" w:firstLineChars="200"/>
        <w:rPr>
          <w:rFonts w:ascii="仿宋_GB2312" w:eastAsia="仿宋_GB2312"/>
          <w:sz w:val="28"/>
          <w:szCs w:val="28"/>
        </w:rPr>
      </w:pPr>
      <w:r>
        <w:rPr>
          <w:rFonts w:hint="eastAsia" w:ascii="仿宋_GB2312" w:eastAsia="仿宋_GB2312"/>
          <w:sz w:val="28"/>
          <w:szCs w:val="28"/>
        </w:rPr>
        <w:t>2.3术语和定义</w:t>
      </w:r>
    </w:p>
    <w:p>
      <w:pPr>
        <w:adjustRightInd w:val="0"/>
        <w:snapToGrid w:val="0"/>
        <w:spacing w:line="360" w:lineRule="auto"/>
        <w:ind w:firstLine="560" w:firstLineChars="200"/>
        <w:rPr>
          <w:rFonts w:ascii="仿宋_GB2312" w:eastAsia="仿宋_GB2312"/>
          <w:sz w:val="28"/>
          <w:szCs w:val="28"/>
        </w:rPr>
      </w:pPr>
      <w:r>
        <w:rPr>
          <w:rFonts w:hint="eastAsia" w:ascii="仿宋_GB2312" w:hAnsi="宋体" w:eastAsia="仿宋_GB2312"/>
          <w:sz w:val="28"/>
          <w:szCs w:val="28"/>
        </w:rPr>
        <w:t>下列术语和定义适用于本细则。</w:t>
      </w:r>
    </w:p>
    <w:p>
      <w:pPr>
        <w:adjustRightInd w:val="0"/>
        <w:snapToGrid w:val="0"/>
        <w:spacing w:line="360" w:lineRule="auto"/>
        <w:ind w:firstLine="560" w:firstLineChars="200"/>
        <w:rPr>
          <w:rFonts w:ascii="仿宋_GB2312" w:eastAsia="仿宋_GB2312"/>
          <w:sz w:val="28"/>
          <w:szCs w:val="28"/>
        </w:rPr>
      </w:pPr>
      <w:r>
        <w:rPr>
          <w:rFonts w:hint="eastAsia" w:ascii="仿宋_GB2312" w:eastAsia="仿宋_GB2312"/>
          <w:sz w:val="28"/>
          <w:szCs w:val="28"/>
        </w:rPr>
        <w:t xml:space="preserve">2.3.1机制砂 </w:t>
      </w:r>
    </w:p>
    <w:p>
      <w:pPr>
        <w:adjustRightInd w:val="0"/>
        <w:snapToGrid w:val="0"/>
        <w:spacing w:line="360" w:lineRule="auto"/>
        <w:ind w:firstLine="560" w:firstLineChars="200"/>
        <w:rPr>
          <w:rFonts w:ascii="仿宋_GB2312" w:eastAsia="仿宋_GB2312"/>
          <w:sz w:val="28"/>
          <w:szCs w:val="28"/>
        </w:rPr>
      </w:pPr>
      <w:r>
        <w:rPr>
          <w:rFonts w:hint="eastAsia" w:ascii="仿宋_GB2312" w:hAnsi="宋体" w:eastAsia="仿宋_GB2312"/>
          <w:sz w:val="28"/>
          <w:szCs w:val="28"/>
        </w:rPr>
        <w:t>是经除土处理，由机械破碎、筛分制成的，粒径小于4.75mm的岩石、矿山尾矿或工业废渣颗粒，但不包括软质、风化的颗粒产品。产品用于建筑工程中混凝土及其制品和普通砂浆。</w:t>
      </w:r>
    </w:p>
    <w:p>
      <w:pPr>
        <w:adjustRightInd w:val="0"/>
        <w:snapToGrid w:val="0"/>
        <w:spacing w:line="360" w:lineRule="auto"/>
        <w:ind w:firstLine="560" w:firstLineChars="200"/>
        <w:rPr>
          <w:rFonts w:ascii="仿宋_GB2312" w:eastAsia="仿宋_GB2312"/>
          <w:sz w:val="28"/>
          <w:szCs w:val="28"/>
        </w:rPr>
      </w:pPr>
      <w:r>
        <w:rPr>
          <w:rFonts w:hint="eastAsia" w:ascii="仿宋_GB2312" w:eastAsia="仿宋_GB2312"/>
          <w:sz w:val="28"/>
          <w:szCs w:val="28"/>
        </w:rPr>
        <w:t>2.3.2其他术语和定义</w:t>
      </w:r>
    </w:p>
    <w:p>
      <w:pPr>
        <w:adjustRightInd w:val="0"/>
        <w:snapToGrid w:val="0"/>
        <w:spacing w:line="360" w:lineRule="auto"/>
        <w:ind w:firstLine="560" w:firstLineChars="200"/>
        <w:rPr>
          <w:rFonts w:ascii="仿宋_GB2312" w:eastAsia="仿宋_GB2312"/>
          <w:sz w:val="28"/>
          <w:szCs w:val="28"/>
        </w:rPr>
      </w:pPr>
      <w:r>
        <w:rPr>
          <w:rFonts w:hint="eastAsia" w:ascii="仿宋_GB2312" w:eastAsia="仿宋_GB2312"/>
          <w:sz w:val="28"/>
          <w:szCs w:val="28"/>
        </w:rPr>
        <w:t>其他术语和定义见相应产品标准规定。</w:t>
      </w:r>
    </w:p>
    <w:p>
      <w:pPr>
        <w:adjustRightInd w:val="0"/>
        <w:snapToGrid w:val="0"/>
        <w:spacing w:line="360" w:lineRule="auto"/>
        <w:ind w:firstLine="562" w:firstLineChars="200"/>
        <w:rPr>
          <w:rFonts w:ascii="仿宋_GB2312" w:eastAsia="仿宋_GB2312"/>
          <w:b/>
          <w:sz w:val="28"/>
          <w:szCs w:val="28"/>
        </w:rPr>
      </w:pPr>
      <w:r>
        <w:rPr>
          <w:rFonts w:hint="eastAsia" w:ascii="仿宋_GB2312" w:eastAsia="仿宋_GB2312"/>
          <w:b/>
          <w:sz w:val="28"/>
          <w:szCs w:val="28"/>
        </w:rPr>
        <w:t>3机制砂产品生产企业规模划分</w:t>
      </w:r>
    </w:p>
    <w:p>
      <w:pPr>
        <w:snapToGrid w:val="0"/>
        <w:spacing w:line="360" w:lineRule="auto"/>
        <w:ind w:left="360"/>
        <w:rPr>
          <w:rFonts w:ascii="仿宋_GB2312" w:eastAsia="仿宋_GB2312"/>
          <w:sz w:val="24"/>
        </w:rPr>
      </w:pPr>
      <w:r>
        <w:rPr>
          <w:rFonts w:hint="eastAsia" w:ascii="仿宋_GB2312" w:eastAsia="仿宋_GB2312"/>
          <w:sz w:val="28"/>
          <w:szCs w:val="28"/>
        </w:rPr>
        <w:t>根据国家统计局印发的相关管理办法，确定企业规模。</w:t>
      </w:r>
    </w:p>
    <w:p>
      <w:pPr>
        <w:adjustRightInd w:val="0"/>
        <w:snapToGrid w:val="0"/>
        <w:spacing w:line="360" w:lineRule="auto"/>
        <w:ind w:firstLine="562" w:firstLineChars="200"/>
        <w:rPr>
          <w:rFonts w:ascii="仿宋_GB2312" w:eastAsia="仿宋_GB2312"/>
          <w:b/>
          <w:sz w:val="28"/>
          <w:szCs w:val="28"/>
        </w:rPr>
      </w:pPr>
      <w:r>
        <w:rPr>
          <w:rFonts w:hint="eastAsia" w:ascii="仿宋_GB2312" w:eastAsia="仿宋_GB2312"/>
          <w:b/>
          <w:sz w:val="28"/>
          <w:szCs w:val="28"/>
        </w:rPr>
        <w:t>4 检验依据</w:t>
      </w:r>
    </w:p>
    <w:p>
      <w:pPr>
        <w:adjustRightInd w:val="0"/>
        <w:snapToGrid w:val="0"/>
        <w:spacing w:line="360" w:lineRule="auto"/>
        <w:ind w:firstLine="560" w:firstLineChars="200"/>
        <w:rPr>
          <w:rFonts w:ascii="仿宋_GB2312" w:eastAsia="仿宋_GB2312"/>
          <w:sz w:val="28"/>
          <w:szCs w:val="28"/>
        </w:rPr>
      </w:pPr>
      <w:r>
        <w:rPr>
          <w:rFonts w:hint="eastAsia" w:ascii="仿宋_GB2312" w:eastAsia="仿宋_GB2312"/>
          <w:sz w:val="28"/>
          <w:szCs w:val="28"/>
        </w:rPr>
        <w:t>凡是注日期的文件，其随后所有的修改单（不包括勘误的内容）或修订版不适用于本细则。凡是不注日期的文件，其最新版本适用于本细则。</w:t>
      </w:r>
    </w:p>
    <w:p>
      <w:pPr>
        <w:adjustRightInd w:val="0"/>
        <w:snapToGrid w:val="0"/>
        <w:spacing w:line="360" w:lineRule="auto"/>
        <w:ind w:firstLine="560" w:firstLineChars="200"/>
        <w:rPr>
          <w:rFonts w:ascii="仿宋_GB2312" w:eastAsia="仿宋_GB2312"/>
          <w:sz w:val="28"/>
          <w:szCs w:val="28"/>
        </w:rPr>
      </w:pPr>
      <w:r>
        <w:rPr>
          <w:rFonts w:hint="eastAsia" w:ascii="仿宋_GB2312" w:eastAsia="仿宋_GB2312"/>
          <w:sz w:val="28"/>
          <w:szCs w:val="28"/>
        </w:rPr>
        <w:t>GB 6566建筑材料放射性核素限量</w:t>
      </w:r>
    </w:p>
    <w:p>
      <w:pPr>
        <w:adjustRightInd w:val="0"/>
        <w:snapToGrid w:val="0"/>
        <w:spacing w:line="360" w:lineRule="auto"/>
        <w:ind w:firstLine="560" w:firstLineChars="200"/>
        <w:rPr>
          <w:rFonts w:ascii="仿宋_GB2312" w:eastAsia="仿宋_GB2312"/>
          <w:sz w:val="28"/>
          <w:szCs w:val="28"/>
        </w:rPr>
      </w:pPr>
      <w:r>
        <w:rPr>
          <w:rFonts w:hint="eastAsia" w:ascii="仿宋_GB2312" w:eastAsia="仿宋_GB2312"/>
          <w:sz w:val="28"/>
          <w:szCs w:val="28"/>
        </w:rPr>
        <w:t>GB/T 14684建设用砂</w:t>
      </w:r>
    </w:p>
    <w:p>
      <w:pPr>
        <w:adjustRightInd w:val="0"/>
        <w:snapToGrid w:val="0"/>
        <w:spacing w:line="360" w:lineRule="auto"/>
        <w:ind w:firstLine="560" w:firstLineChars="200"/>
        <w:rPr>
          <w:rFonts w:ascii="仿宋_GB2312" w:eastAsia="仿宋_GB2312"/>
          <w:sz w:val="28"/>
          <w:szCs w:val="28"/>
        </w:rPr>
      </w:pPr>
      <w:r>
        <w:rPr>
          <w:rFonts w:hint="eastAsia" w:ascii="仿宋_GB2312" w:eastAsia="仿宋_GB2312"/>
          <w:sz w:val="28"/>
          <w:szCs w:val="28"/>
        </w:rPr>
        <w:t>相关的法律法规、部门规章和规范</w:t>
      </w:r>
    </w:p>
    <w:p>
      <w:pPr>
        <w:adjustRightInd w:val="0"/>
        <w:snapToGrid w:val="0"/>
        <w:spacing w:line="360" w:lineRule="auto"/>
        <w:ind w:firstLine="560" w:firstLineChars="200"/>
        <w:rPr>
          <w:rFonts w:ascii="仿宋_GB2312" w:eastAsia="仿宋_GB2312"/>
          <w:sz w:val="28"/>
          <w:szCs w:val="28"/>
        </w:rPr>
      </w:pPr>
      <w:r>
        <w:rPr>
          <w:rFonts w:hint="eastAsia" w:ascii="仿宋_GB2312" w:eastAsia="仿宋_GB2312"/>
          <w:sz w:val="28"/>
          <w:szCs w:val="28"/>
        </w:rPr>
        <w:t>现行有效的企业标准及产品明示质量要求</w:t>
      </w:r>
    </w:p>
    <w:p>
      <w:pPr>
        <w:adjustRightInd w:val="0"/>
        <w:snapToGrid w:val="0"/>
        <w:spacing w:line="360" w:lineRule="auto"/>
        <w:ind w:firstLine="562" w:firstLineChars="200"/>
        <w:rPr>
          <w:rFonts w:ascii="仿宋_GB2312" w:eastAsia="仿宋_GB2312"/>
          <w:b/>
          <w:sz w:val="28"/>
          <w:szCs w:val="28"/>
        </w:rPr>
      </w:pPr>
      <w:r>
        <w:rPr>
          <w:rFonts w:hint="eastAsia" w:ascii="仿宋_GB2312" w:eastAsia="仿宋_GB2312"/>
          <w:b/>
          <w:sz w:val="28"/>
          <w:szCs w:val="28"/>
        </w:rPr>
        <w:t>5抽样</w:t>
      </w:r>
    </w:p>
    <w:p>
      <w:pPr>
        <w:adjustRightInd w:val="0"/>
        <w:snapToGrid w:val="0"/>
        <w:spacing w:line="360" w:lineRule="auto"/>
        <w:ind w:firstLine="560" w:firstLineChars="200"/>
        <w:rPr>
          <w:rFonts w:ascii="仿宋_GB2312" w:eastAsia="仿宋_GB2312"/>
          <w:sz w:val="28"/>
          <w:szCs w:val="28"/>
        </w:rPr>
      </w:pPr>
      <w:r>
        <w:rPr>
          <w:rFonts w:hint="eastAsia" w:ascii="仿宋_GB2312" w:eastAsia="仿宋_GB2312"/>
          <w:sz w:val="28"/>
          <w:szCs w:val="28"/>
        </w:rPr>
        <w:t>5.1抽样型号或规格</w:t>
      </w:r>
    </w:p>
    <w:p>
      <w:pPr>
        <w:adjustRightInd w:val="0"/>
        <w:snapToGrid w:val="0"/>
        <w:spacing w:line="360" w:lineRule="auto"/>
        <w:ind w:firstLine="560" w:firstLineChars="200"/>
        <w:rPr>
          <w:rFonts w:ascii="仿宋_GB2312" w:eastAsia="仿宋_GB2312"/>
          <w:sz w:val="28"/>
          <w:szCs w:val="28"/>
        </w:rPr>
      </w:pPr>
      <w:r>
        <w:rPr>
          <w:rFonts w:hint="eastAsia" w:ascii="仿宋_GB2312" w:eastAsia="仿宋_GB2312"/>
          <w:sz w:val="28"/>
          <w:szCs w:val="28"/>
        </w:rPr>
        <w:t>抽取样品应为同一型号规格、同一批次的产品。优先抽取符合产品标准规定的主要型号或规格或生产量较大的型号或规格的产品。</w:t>
      </w:r>
    </w:p>
    <w:p>
      <w:pPr>
        <w:adjustRightInd w:val="0"/>
        <w:snapToGrid w:val="0"/>
        <w:spacing w:line="360" w:lineRule="auto"/>
        <w:ind w:firstLine="560" w:firstLineChars="200"/>
        <w:rPr>
          <w:rFonts w:ascii="仿宋_GB2312" w:eastAsia="仿宋_GB2312"/>
          <w:sz w:val="28"/>
          <w:szCs w:val="28"/>
        </w:rPr>
      </w:pPr>
      <w:r>
        <w:rPr>
          <w:rFonts w:hint="eastAsia" w:ascii="仿宋_GB2312" w:eastAsia="仿宋_GB2312"/>
          <w:sz w:val="28"/>
          <w:szCs w:val="28"/>
        </w:rPr>
        <w:t>5.2抽样基数、抽样数量</w:t>
      </w:r>
    </w:p>
    <w:p>
      <w:pPr>
        <w:adjustRightInd w:val="0"/>
        <w:snapToGrid w:val="0"/>
        <w:spacing w:line="360" w:lineRule="auto"/>
        <w:ind w:firstLine="560" w:firstLineChars="200"/>
        <w:rPr>
          <w:rFonts w:ascii="仿宋_GB2312" w:eastAsia="仿宋_GB2312"/>
          <w:sz w:val="28"/>
          <w:szCs w:val="28"/>
        </w:rPr>
      </w:pPr>
      <w:r>
        <w:rPr>
          <w:rFonts w:hint="eastAsia" w:ascii="仿宋_GB2312" w:eastAsia="仿宋_GB2312"/>
          <w:sz w:val="28"/>
          <w:szCs w:val="28"/>
        </w:rPr>
        <w:t>在企业的成品堆场内随机抽取有产品质量检验合格证明或以其他形式表明合格的，近期生产的产品。</w:t>
      </w:r>
    </w:p>
    <w:p>
      <w:pPr>
        <w:adjustRightInd w:val="0"/>
        <w:snapToGrid w:val="0"/>
        <w:spacing w:line="360" w:lineRule="auto"/>
        <w:ind w:firstLine="560" w:firstLineChars="200"/>
        <w:rPr>
          <w:rFonts w:ascii="仿宋_GB2312" w:eastAsia="仿宋_GB2312"/>
          <w:sz w:val="28"/>
          <w:szCs w:val="28"/>
        </w:rPr>
      </w:pPr>
      <w:r>
        <w:rPr>
          <w:rFonts w:hint="eastAsia" w:ascii="仿宋_GB2312" w:eastAsia="仿宋_GB2312"/>
          <w:sz w:val="28"/>
          <w:szCs w:val="28"/>
        </w:rPr>
        <w:t>随机数一般可使用骰子或扑克牌等方法产生。</w:t>
      </w:r>
    </w:p>
    <w:p>
      <w:pPr>
        <w:adjustRightInd w:val="0"/>
        <w:snapToGrid w:val="0"/>
        <w:spacing w:line="360" w:lineRule="auto"/>
        <w:ind w:firstLine="560" w:firstLineChars="200"/>
        <w:rPr>
          <w:rFonts w:ascii="仿宋_GB2312" w:eastAsia="仿宋_GB2312"/>
          <w:sz w:val="28"/>
          <w:szCs w:val="28"/>
        </w:rPr>
      </w:pPr>
      <w:r>
        <w:rPr>
          <w:rFonts w:hint="eastAsia" w:ascii="仿宋_GB2312" w:eastAsia="仿宋_GB2312"/>
          <w:sz w:val="28"/>
          <w:szCs w:val="28"/>
        </w:rPr>
        <w:t>5.2.1抽样基数</w:t>
      </w:r>
    </w:p>
    <w:p>
      <w:pPr>
        <w:adjustRightInd w:val="0"/>
        <w:snapToGrid w:val="0"/>
        <w:spacing w:line="360" w:lineRule="auto"/>
        <w:ind w:firstLine="560" w:firstLineChars="200"/>
        <w:rPr>
          <w:rFonts w:ascii="仿宋_GB2312" w:eastAsia="仿宋_GB2312"/>
          <w:sz w:val="28"/>
          <w:szCs w:val="28"/>
        </w:rPr>
      </w:pPr>
      <w:r>
        <w:rPr>
          <w:rFonts w:hint="eastAsia" w:ascii="仿宋_GB2312" w:eastAsia="仿宋_GB2312"/>
          <w:sz w:val="28"/>
          <w:szCs w:val="28"/>
        </w:rPr>
        <w:t>按同分类、规格、类别及日产量每600t为一批，不足600t亦为一批；日产量超过2000t，按1000t为一批，不足1000t亦为一批。</w:t>
      </w:r>
    </w:p>
    <w:p>
      <w:pPr>
        <w:adjustRightInd w:val="0"/>
        <w:snapToGrid w:val="0"/>
        <w:spacing w:line="360" w:lineRule="auto"/>
        <w:ind w:firstLine="560" w:firstLineChars="200"/>
        <w:rPr>
          <w:rFonts w:ascii="仿宋_GB2312" w:eastAsia="仿宋_GB2312"/>
          <w:sz w:val="28"/>
          <w:szCs w:val="28"/>
        </w:rPr>
      </w:pPr>
      <w:r>
        <w:rPr>
          <w:rFonts w:hint="eastAsia" w:ascii="仿宋_GB2312" w:eastAsia="仿宋_GB2312"/>
          <w:sz w:val="28"/>
          <w:szCs w:val="28"/>
        </w:rPr>
        <w:t>5.2.2抽样数量</w:t>
      </w:r>
    </w:p>
    <w:p>
      <w:pPr>
        <w:adjustRightInd w:val="0"/>
        <w:snapToGrid w:val="0"/>
        <w:spacing w:line="360" w:lineRule="auto"/>
        <w:ind w:firstLine="560" w:firstLineChars="200"/>
        <w:rPr>
          <w:rFonts w:ascii="仿宋_GB2312" w:eastAsia="仿宋_GB2312"/>
          <w:sz w:val="28"/>
          <w:szCs w:val="28"/>
        </w:rPr>
      </w:pPr>
      <w:r>
        <w:rPr>
          <w:rFonts w:hint="eastAsia" w:ascii="仿宋_GB2312" w:eastAsia="仿宋_GB2312"/>
          <w:sz w:val="28"/>
          <w:szCs w:val="28"/>
        </w:rPr>
        <w:t>在生产领域抽样时，取样部位应均匀分布，取样前先将取样部位表层铲除，然后从不同部位随机抽取大致等量的砂8份，组成一组样品。抽取至少60kg的样品分成2份，1份为检验样品，另1份为备用样品。</w:t>
      </w:r>
    </w:p>
    <w:p>
      <w:pPr>
        <w:adjustRightInd w:val="0"/>
        <w:snapToGrid w:val="0"/>
        <w:spacing w:line="360" w:lineRule="auto"/>
        <w:ind w:firstLine="560" w:firstLineChars="200"/>
        <w:rPr>
          <w:rFonts w:ascii="仿宋_GB2312" w:eastAsia="仿宋_GB2312"/>
          <w:sz w:val="28"/>
          <w:szCs w:val="28"/>
        </w:rPr>
      </w:pPr>
      <w:r>
        <w:rPr>
          <w:rFonts w:hint="eastAsia" w:ascii="仿宋_GB2312" w:eastAsia="仿宋_GB2312"/>
          <w:sz w:val="28"/>
          <w:szCs w:val="28"/>
        </w:rPr>
        <w:t>在流通领域抽样时，抽样基数满足抽样数量即可，抽取样品量要求与生产领域抽样时相同。</w:t>
      </w:r>
    </w:p>
    <w:p>
      <w:pPr>
        <w:adjustRightInd w:val="0"/>
        <w:snapToGrid w:val="0"/>
        <w:spacing w:line="360" w:lineRule="auto"/>
        <w:ind w:firstLine="560" w:firstLineChars="200"/>
        <w:rPr>
          <w:rFonts w:ascii="仿宋_GB2312" w:eastAsia="仿宋_GB2312"/>
          <w:sz w:val="28"/>
          <w:szCs w:val="28"/>
        </w:rPr>
      </w:pPr>
      <w:r>
        <w:rPr>
          <w:rFonts w:hint="eastAsia" w:ascii="仿宋_GB2312" w:eastAsia="仿宋_GB2312"/>
          <w:sz w:val="28"/>
          <w:szCs w:val="28"/>
        </w:rPr>
        <w:t>在本细则中，检验机构在检验过程中对检验结果进行复验所使用的样品，应是抽取的检验样品，不能使用备用样品。备用样品仅是指受检单位或经过样品确认的生产企业对检验结果提出异议，需要对不合格项目进行复检时使用。</w:t>
      </w:r>
    </w:p>
    <w:p>
      <w:pPr>
        <w:adjustRightInd w:val="0"/>
        <w:snapToGrid w:val="0"/>
        <w:spacing w:line="360" w:lineRule="auto"/>
        <w:ind w:firstLine="560" w:firstLineChars="200"/>
        <w:rPr>
          <w:rFonts w:ascii="仿宋_GB2312" w:eastAsia="仿宋_GB2312"/>
          <w:sz w:val="28"/>
          <w:szCs w:val="28"/>
        </w:rPr>
      </w:pPr>
      <w:r>
        <w:rPr>
          <w:rFonts w:hint="eastAsia" w:ascii="仿宋_GB2312" w:eastAsia="仿宋_GB2312"/>
          <w:sz w:val="28"/>
          <w:szCs w:val="28"/>
        </w:rPr>
        <w:t>5.3样品处置</w:t>
      </w:r>
    </w:p>
    <w:p>
      <w:pPr>
        <w:adjustRightInd w:val="0"/>
        <w:snapToGrid w:val="0"/>
        <w:spacing w:line="360" w:lineRule="auto"/>
        <w:ind w:firstLine="560" w:firstLineChars="200"/>
        <w:rPr>
          <w:rFonts w:ascii="仿宋_GB2312" w:eastAsia="仿宋_GB2312"/>
          <w:sz w:val="28"/>
          <w:szCs w:val="28"/>
        </w:rPr>
      </w:pPr>
      <w:r>
        <w:rPr>
          <w:rFonts w:hint="eastAsia" w:ascii="仿宋_GB2312" w:eastAsia="仿宋_GB2312"/>
          <w:sz w:val="28"/>
          <w:szCs w:val="28"/>
        </w:rPr>
        <w:t>抽取的样品在抽样现场立即装入封样袋中，加贴封样单；封样袋表面和封样单上由抽样人员、受检单位代表同时签字，并标注样品编号；样品编号为抽样单序号后3位。</w:t>
      </w:r>
    </w:p>
    <w:p>
      <w:pPr>
        <w:adjustRightInd w:val="0"/>
        <w:snapToGrid w:val="0"/>
        <w:spacing w:line="360" w:lineRule="auto"/>
        <w:ind w:firstLine="560" w:firstLineChars="200"/>
        <w:rPr>
          <w:rFonts w:ascii="仿宋_GB2312" w:eastAsia="仿宋_GB2312"/>
          <w:sz w:val="28"/>
          <w:szCs w:val="28"/>
        </w:rPr>
      </w:pPr>
      <w:r>
        <w:rPr>
          <w:rFonts w:hint="eastAsia" w:ascii="仿宋_GB2312" w:eastAsia="仿宋_GB2312"/>
          <w:sz w:val="28"/>
          <w:szCs w:val="28"/>
        </w:rPr>
        <w:t>抽样人员封样时，应当有防拆封措施，以保证样品不被调换。承检单位接收样品时，应仔细查验封条和包装的完整性，以确定样品的真实性。寄、送样品时应防止撒漏。</w:t>
      </w:r>
    </w:p>
    <w:p>
      <w:pPr>
        <w:adjustRightInd w:val="0"/>
        <w:snapToGrid w:val="0"/>
        <w:spacing w:line="360" w:lineRule="auto"/>
        <w:ind w:firstLine="560" w:firstLineChars="200"/>
        <w:rPr>
          <w:rFonts w:ascii="仿宋_GB2312" w:eastAsia="仿宋_GB2312"/>
          <w:sz w:val="28"/>
          <w:szCs w:val="28"/>
        </w:rPr>
      </w:pPr>
      <w:r>
        <w:rPr>
          <w:rFonts w:hint="eastAsia" w:ascii="仿宋_GB2312" w:eastAsia="仿宋_GB2312"/>
          <w:sz w:val="28"/>
          <w:szCs w:val="28"/>
        </w:rPr>
        <w:t>5.4抽样单</w:t>
      </w:r>
    </w:p>
    <w:p>
      <w:pPr>
        <w:adjustRightInd w:val="0"/>
        <w:snapToGrid w:val="0"/>
        <w:spacing w:line="360" w:lineRule="auto"/>
        <w:ind w:firstLine="560" w:firstLineChars="200"/>
        <w:rPr>
          <w:rFonts w:ascii="仿宋_GB2312" w:eastAsia="仿宋_GB2312"/>
          <w:sz w:val="28"/>
          <w:szCs w:val="28"/>
        </w:rPr>
      </w:pPr>
      <w:r>
        <w:rPr>
          <w:rFonts w:hint="eastAsia" w:ascii="仿宋_GB2312" w:eastAsia="仿宋_GB2312"/>
          <w:sz w:val="28"/>
          <w:szCs w:val="28"/>
        </w:rPr>
        <w:t>应按有关规定填写抽样单，并记录被抽查产品及企业相关信息。同时记录被抽查企业上一年度生产的机制砂产品销售总额，以万元计；若企业上一年度未生产，则记录本年度实际销售额，并加以注明。对于产品检验所需的样品技术参数等信息，需要被抽企业提供的，应在抽样现场获取，并经企业确认。</w:t>
      </w:r>
    </w:p>
    <w:p>
      <w:pPr>
        <w:adjustRightInd w:val="0"/>
        <w:snapToGrid w:val="0"/>
        <w:spacing w:line="360" w:lineRule="auto"/>
        <w:ind w:firstLine="560" w:firstLineChars="200"/>
        <w:rPr>
          <w:rFonts w:ascii="仿宋_GB2312" w:eastAsia="仿宋_GB2312"/>
          <w:sz w:val="28"/>
          <w:szCs w:val="28"/>
        </w:rPr>
      </w:pPr>
      <w:r>
        <w:rPr>
          <w:rFonts w:hint="eastAsia" w:ascii="仿宋_GB2312" w:eastAsia="仿宋_GB2312"/>
          <w:sz w:val="28"/>
          <w:szCs w:val="28"/>
        </w:rPr>
        <w:t>5.5样品获取方式</w:t>
      </w:r>
    </w:p>
    <w:p>
      <w:pPr>
        <w:snapToGrid w:val="0"/>
        <w:spacing w:line="360" w:lineRule="auto"/>
        <w:ind w:firstLine="560" w:firstLineChars="200"/>
        <w:rPr>
          <w:rFonts w:ascii="仿宋_GB2312" w:eastAsia="仿宋_GB2312"/>
          <w:sz w:val="28"/>
          <w:szCs w:val="28"/>
        </w:rPr>
      </w:pPr>
      <w:r>
        <w:rPr>
          <w:rFonts w:hint="eastAsia" w:ascii="仿宋_GB2312" w:eastAsia="仿宋_GB2312"/>
          <w:sz w:val="28"/>
          <w:szCs w:val="28"/>
        </w:rPr>
        <w:t>监督抽查所需的样品要在受检单位以购买方式获取。</w:t>
      </w:r>
    </w:p>
    <w:p>
      <w:pPr>
        <w:adjustRightInd w:val="0"/>
        <w:snapToGrid w:val="0"/>
        <w:spacing w:line="360" w:lineRule="auto"/>
        <w:ind w:firstLine="562" w:firstLineChars="200"/>
        <w:rPr>
          <w:rFonts w:ascii="仿宋_GB2312" w:eastAsia="仿宋_GB2312"/>
          <w:b/>
          <w:sz w:val="28"/>
          <w:szCs w:val="28"/>
        </w:rPr>
      </w:pPr>
      <w:r>
        <w:rPr>
          <w:rFonts w:hint="eastAsia" w:ascii="仿宋_GB2312" w:eastAsia="仿宋_GB2312"/>
          <w:b/>
          <w:sz w:val="28"/>
          <w:szCs w:val="28"/>
        </w:rPr>
        <w:t>6检验要求</w:t>
      </w:r>
    </w:p>
    <w:p>
      <w:pPr>
        <w:adjustRightInd w:val="0"/>
        <w:snapToGrid w:val="0"/>
        <w:spacing w:line="360" w:lineRule="auto"/>
        <w:ind w:firstLine="560" w:firstLineChars="200"/>
        <w:rPr>
          <w:rFonts w:ascii="仿宋_GB2312" w:eastAsia="仿宋_GB2312"/>
          <w:sz w:val="28"/>
          <w:szCs w:val="28"/>
        </w:rPr>
      </w:pPr>
      <w:r>
        <w:rPr>
          <w:rFonts w:hint="eastAsia" w:ascii="仿宋_GB2312" w:eastAsia="仿宋_GB2312"/>
          <w:sz w:val="28"/>
          <w:szCs w:val="28"/>
        </w:rPr>
        <w:t>6.1检验项目及重要程度分类</w:t>
      </w:r>
    </w:p>
    <w:p>
      <w:pPr>
        <w:adjustRightInd w:val="0"/>
        <w:snapToGrid w:val="0"/>
        <w:spacing w:line="360" w:lineRule="auto"/>
        <w:ind w:firstLine="560" w:firstLineChars="200"/>
        <w:rPr>
          <w:rFonts w:ascii="仿宋_GB2312" w:eastAsia="仿宋_GB2312"/>
          <w:sz w:val="28"/>
          <w:szCs w:val="28"/>
        </w:rPr>
      </w:pPr>
      <w:r>
        <w:rPr>
          <w:rFonts w:hint="eastAsia" w:ascii="仿宋_GB2312" w:eastAsia="仿宋_GB2312"/>
          <w:sz w:val="28"/>
          <w:szCs w:val="28"/>
        </w:rPr>
        <w:t>检验项目及重要程度分类见表</w:t>
      </w:r>
      <w:r>
        <w:rPr>
          <w:rFonts w:hint="eastAsia" w:ascii="仿宋_GB2312" w:eastAsia="仿宋_GB2312"/>
          <w:sz w:val="28"/>
          <w:szCs w:val="28"/>
          <w:lang w:val="en-US" w:eastAsia="zh-CN"/>
        </w:rPr>
        <w:t>2</w:t>
      </w:r>
      <w:r>
        <w:rPr>
          <w:rFonts w:hint="eastAsia" w:ascii="仿宋_GB2312" w:eastAsia="仿宋_GB2312"/>
          <w:sz w:val="28"/>
          <w:szCs w:val="28"/>
        </w:rPr>
        <w:t>。</w:t>
      </w:r>
    </w:p>
    <w:p>
      <w:pPr>
        <w:spacing w:line="440" w:lineRule="exact"/>
        <w:jc w:val="center"/>
        <w:rPr>
          <w:rFonts w:ascii="仿宋_GB2312" w:hAnsi="宋体" w:eastAsia="仿宋_GB2312" w:cs="宋体"/>
          <w:sz w:val="28"/>
          <w:szCs w:val="28"/>
        </w:rPr>
      </w:pPr>
      <w:r>
        <w:rPr>
          <w:rFonts w:hint="eastAsia" w:ascii="仿宋_GB2312" w:hAnsi="宋体" w:eastAsia="仿宋_GB2312" w:cs="宋体"/>
          <w:sz w:val="28"/>
          <w:szCs w:val="28"/>
        </w:rPr>
        <w:t>表2机制砂检验项目及重要程度分类</w:t>
      </w:r>
    </w:p>
    <w:tbl>
      <w:tblPr>
        <w:tblStyle w:val="6"/>
        <w:tblpPr w:leftFromText="180" w:rightFromText="180" w:vertAnchor="text" w:horzAnchor="margin" w:tblpXSpec="center" w:tblpY="30"/>
        <w:tblW w:w="82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19"/>
        <w:gridCol w:w="1899"/>
        <w:gridCol w:w="2125"/>
        <w:gridCol w:w="1817"/>
        <w:gridCol w:w="708"/>
        <w:gridCol w:w="7"/>
        <w:gridCol w:w="10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blHeader/>
        </w:trPr>
        <w:tc>
          <w:tcPr>
            <w:tcW w:w="619" w:type="dxa"/>
            <w:vMerge w:val="restart"/>
            <w:vAlign w:val="center"/>
          </w:tcPr>
          <w:p>
            <w:pPr>
              <w:snapToGrid w:val="0"/>
              <w:jc w:val="center"/>
              <w:rPr>
                <w:rFonts w:ascii="宋体" w:hAnsi="宋体"/>
                <w:szCs w:val="21"/>
              </w:rPr>
            </w:pPr>
            <w:r>
              <w:rPr>
                <w:rFonts w:hint="eastAsia" w:ascii="宋体" w:hAnsi="宋体"/>
                <w:szCs w:val="21"/>
              </w:rPr>
              <w:t>序号</w:t>
            </w:r>
          </w:p>
        </w:tc>
        <w:tc>
          <w:tcPr>
            <w:tcW w:w="1899" w:type="dxa"/>
            <w:vMerge w:val="restart"/>
            <w:vAlign w:val="center"/>
          </w:tcPr>
          <w:p>
            <w:pPr>
              <w:snapToGrid w:val="0"/>
              <w:jc w:val="center"/>
              <w:rPr>
                <w:rFonts w:ascii="宋体" w:hAnsi="宋体"/>
                <w:szCs w:val="21"/>
              </w:rPr>
            </w:pPr>
            <w:r>
              <w:rPr>
                <w:rFonts w:hint="eastAsia" w:ascii="宋体" w:hAnsi="宋体"/>
                <w:szCs w:val="21"/>
              </w:rPr>
              <w:t>检验项目</w:t>
            </w:r>
          </w:p>
        </w:tc>
        <w:tc>
          <w:tcPr>
            <w:tcW w:w="2125" w:type="dxa"/>
            <w:vMerge w:val="restart"/>
            <w:tcBorders/>
            <w:vAlign w:val="center"/>
          </w:tcPr>
          <w:p>
            <w:pPr>
              <w:snapToGrid w:val="0"/>
              <w:jc w:val="center"/>
              <w:rPr>
                <w:rFonts w:ascii="宋体" w:hAnsi="宋体"/>
                <w:szCs w:val="21"/>
              </w:rPr>
            </w:pPr>
            <w:r>
              <w:rPr>
                <w:rFonts w:hint="eastAsia" w:ascii="宋体" w:hAnsi="宋体"/>
                <w:szCs w:val="21"/>
              </w:rPr>
              <w:t>依据法律法规</w:t>
            </w:r>
          </w:p>
          <w:p>
            <w:pPr>
              <w:snapToGrid w:val="0"/>
              <w:jc w:val="center"/>
              <w:rPr>
                <w:rFonts w:ascii="宋体" w:hAnsi="宋体"/>
                <w:szCs w:val="21"/>
              </w:rPr>
            </w:pPr>
            <w:r>
              <w:rPr>
                <w:rFonts w:hint="eastAsia" w:ascii="宋体" w:hAnsi="宋体"/>
                <w:szCs w:val="21"/>
              </w:rPr>
              <w:t>或标准条款</w:t>
            </w:r>
          </w:p>
        </w:tc>
        <w:tc>
          <w:tcPr>
            <w:tcW w:w="1817" w:type="dxa"/>
            <w:vMerge w:val="restart"/>
            <w:vAlign w:val="center"/>
          </w:tcPr>
          <w:p>
            <w:pPr>
              <w:snapToGrid w:val="0"/>
              <w:jc w:val="center"/>
              <w:rPr>
                <w:rFonts w:ascii="宋体" w:hAnsi="宋体"/>
                <w:szCs w:val="21"/>
              </w:rPr>
            </w:pPr>
            <w:r>
              <w:rPr>
                <w:rFonts w:hint="eastAsia" w:ascii="宋体" w:hAnsi="宋体"/>
                <w:szCs w:val="21"/>
              </w:rPr>
              <w:t>检测方法</w:t>
            </w:r>
          </w:p>
        </w:tc>
        <w:tc>
          <w:tcPr>
            <w:tcW w:w="1799" w:type="dxa"/>
            <w:gridSpan w:val="3"/>
            <w:vAlign w:val="center"/>
          </w:tcPr>
          <w:p>
            <w:pPr>
              <w:snapToGrid w:val="0"/>
              <w:jc w:val="center"/>
              <w:rPr>
                <w:rFonts w:ascii="宋体" w:hAnsi="宋体"/>
                <w:szCs w:val="21"/>
              </w:rPr>
            </w:pPr>
            <w:r>
              <w:rPr>
                <w:rFonts w:hint="eastAsia" w:ascii="宋体" w:hAnsi="宋体"/>
                <w:szCs w:val="21"/>
              </w:rPr>
              <w:t>重要程度或不合格程度分类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blHeader/>
        </w:trPr>
        <w:tc>
          <w:tcPr>
            <w:tcW w:w="619" w:type="dxa"/>
            <w:vMerge w:val="continue"/>
            <w:vAlign w:val="center"/>
          </w:tcPr>
          <w:p>
            <w:pPr>
              <w:snapToGrid w:val="0"/>
              <w:ind w:firstLine="420"/>
              <w:jc w:val="center"/>
              <w:rPr>
                <w:rFonts w:ascii="宋体" w:hAnsi="宋体"/>
                <w:szCs w:val="21"/>
              </w:rPr>
            </w:pPr>
          </w:p>
        </w:tc>
        <w:tc>
          <w:tcPr>
            <w:tcW w:w="1899" w:type="dxa"/>
            <w:vMerge w:val="continue"/>
            <w:vAlign w:val="center"/>
          </w:tcPr>
          <w:p>
            <w:pPr>
              <w:snapToGrid w:val="0"/>
              <w:ind w:firstLine="420"/>
              <w:jc w:val="center"/>
              <w:rPr>
                <w:rFonts w:ascii="宋体" w:hAnsi="宋体"/>
                <w:szCs w:val="21"/>
              </w:rPr>
            </w:pPr>
          </w:p>
        </w:tc>
        <w:tc>
          <w:tcPr>
            <w:tcW w:w="2125" w:type="dxa"/>
            <w:vMerge w:val="continue"/>
            <w:tcBorders/>
            <w:vAlign w:val="center"/>
          </w:tcPr>
          <w:p>
            <w:pPr>
              <w:snapToGrid w:val="0"/>
              <w:ind w:firstLine="420"/>
              <w:jc w:val="center"/>
              <w:rPr>
                <w:rFonts w:ascii="宋体" w:hAnsi="宋体"/>
                <w:szCs w:val="21"/>
              </w:rPr>
            </w:pPr>
          </w:p>
        </w:tc>
        <w:tc>
          <w:tcPr>
            <w:tcW w:w="1817" w:type="dxa"/>
            <w:vMerge w:val="continue"/>
            <w:vAlign w:val="center"/>
          </w:tcPr>
          <w:p>
            <w:pPr>
              <w:snapToGrid w:val="0"/>
              <w:ind w:firstLine="420"/>
              <w:jc w:val="center"/>
              <w:rPr>
                <w:rFonts w:ascii="宋体" w:hAnsi="宋体"/>
                <w:szCs w:val="21"/>
              </w:rPr>
            </w:pPr>
          </w:p>
        </w:tc>
        <w:tc>
          <w:tcPr>
            <w:tcW w:w="715" w:type="dxa"/>
            <w:gridSpan w:val="2"/>
            <w:vAlign w:val="center"/>
          </w:tcPr>
          <w:p>
            <w:pPr>
              <w:snapToGrid w:val="0"/>
              <w:jc w:val="center"/>
              <w:rPr>
                <w:rFonts w:ascii="宋体" w:hAnsi="宋体"/>
                <w:szCs w:val="21"/>
              </w:rPr>
            </w:pPr>
            <w:r>
              <w:rPr>
                <w:rFonts w:hint="eastAsia" w:ascii="宋体" w:hAnsi="宋体"/>
                <w:szCs w:val="21"/>
              </w:rPr>
              <w:t>A类</w:t>
            </w:r>
            <w:r>
              <w:rPr>
                <w:rFonts w:hint="eastAsia" w:ascii="宋体" w:hAnsi="宋体"/>
                <w:szCs w:val="21"/>
                <w:vertAlign w:val="superscript"/>
              </w:rPr>
              <w:t>a</w:t>
            </w:r>
          </w:p>
        </w:tc>
        <w:tc>
          <w:tcPr>
            <w:tcW w:w="1084" w:type="dxa"/>
            <w:vAlign w:val="center"/>
          </w:tcPr>
          <w:p>
            <w:pPr>
              <w:snapToGrid w:val="0"/>
              <w:jc w:val="center"/>
              <w:rPr>
                <w:rFonts w:ascii="宋体" w:hAnsi="宋体"/>
                <w:szCs w:val="21"/>
              </w:rPr>
            </w:pPr>
            <w:r>
              <w:rPr>
                <w:rFonts w:hint="eastAsia" w:ascii="宋体" w:hAnsi="宋体"/>
                <w:szCs w:val="21"/>
              </w:rPr>
              <w:t>B类</w:t>
            </w:r>
            <w:r>
              <w:rPr>
                <w:rFonts w:hint="eastAsia" w:ascii="宋体" w:hAnsi="宋体"/>
                <w:szCs w:val="21"/>
                <w:vertAlign w:val="superscript"/>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9" w:type="dxa"/>
            <w:vAlign w:val="center"/>
          </w:tcPr>
          <w:p>
            <w:pPr>
              <w:contextualSpacing/>
              <w:jc w:val="center"/>
              <w:rPr>
                <w:rFonts w:ascii="宋体" w:hAnsi="宋体"/>
                <w:szCs w:val="21"/>
              </w:rPr>
            </w:pPr>
            <w:r>
              <w:rPr>
                <w:rFonts w:hint="eastAsia" w:ascii="宋体" w:hAnsi="宋体"/>
                <w:szCs w:val="21"/>
              </w:rPr>
              <w:t>1</w:t>
            </w:r>
          </w:p>
        </w:tc>
        <w:tc>
          <w:tcPr>
            <w:tcW w:w="1899" w:type="dxa"/>
            <w:vAlign w:val="center"/>
          </w:tcPr>
          <w:p>
            <w:pPr>
              <w:contextualSpacing/>
              <w:jc w:val="center"/>
              <w:rPr>
                <w:rFonts w:ascii="宋体" w:hAnsi="宋体"/>
                <w:szCs w:val="21"/>
              </w:rPr>
            </w:pPr>
            <w:r>
              <w:rPr>
                <w:rFonts w:hint="eastAsia" w:ascii="宋体" w:hAnsi="宋体"/>
                <w:szCs w:val="21"/>
              </w:rPr>
              <w:t>颗粒级配</w:t>
            </w:r>
          </w:p>
        </w:tc>
        <w:tc>
          <w:tcPr>
            <w:tcW w:w="2125" w:type="dxa"/>
            <w:vAlign w:val="center"/>
          </w:tcPr>
          <w:p>
            <w:pPr>
              <w:contextualSpacing/>
              <w:jc w:val="center"/>
              <w:rPr>
                <w:rFonts w:ascii="宋体" w:hAnsi="宋体"/>
                <w:szCs w:val="21"/>
              </w:rPr>
            </w:pPr>
            <w:r>
              <w:rPr>
                <w:rFonts w:hint="eastAsia" w:ascii="宋体" w:hAnsi="宋体"/>
                <w:szCs w:val="21"/>
              </w:rPr>
              <w:t>GB/T 14684</w:t>
            </w:r>
          </w:p>
        </w:tc>
        <w:tc>
          <w:tcPr>
            <w:tcW w:w="1817" w:type="dxa"/>
            <w:vAlign w:val="center"/>
          </w:tcPr>
          <w:p>
            <w:pPr>
              <w:contextualSpacing/>
              <w:jc w:val="center"/>
              <w:rPr>
                <w:rFonts w:ascii="宋体" w:hAnsi="宋体"/>
                <w:szCs w:val="21"/>
              </w:rPr>
            </w:pPr>
            <w:r>
              <w:rPr>
                <w:rFonts w:hint="eastAsia" w:ascii="宋体" w:hAnsi="宋体"/>
                <w:szCs w:val="21"/>
              </w:rPr>
              <w:t>GB/T 14684</w:t>
            </w:r>
          </w:p>
        </w:tc>
        <w:tc>
          <w:tcPr>
            <w:tcW w:w="708" w:type="dxa"/>
            <w:vAlign w:val="center"/>
          </w:tcPr>
          <w:p>
            <w:pPr>
              <w:snapToGrid w:val="0"/>
              <w:jc w:val="center"/>
              <w:rPr>
                <w:rFonts w:ascii="宋体" w:hAnsi="宋体"/>
                <w:szCs w:val="21"/>
              </w:rPr>
            </w:pPr>
          </w:p>
        </w:tc>
        <w:tc>
          <w:tcPr>
            <w:tcW w:w="1091" w:type="dxa"/>
            <w:gridSpan w:val="2"/>
            <w:vAlign w:val="center"/>
          </w:tcPr>
          <w:p>
            <w:pPr>
              <w:snapToGrid w:val="0"/>
              <w:jc w:val="center"/>
              <w:rPr>
                <w:rFonts w:ascii="宋体" w:hAnsi="宋体"/>
                <w:szCs w:val="21"/>
              </w:rPr>
            </w:pPr>
            <w:r>
              <w:rPr>
                <w:rFonts w:hint="eastAsia" w:ascii="仿宋_GB2312" w:hAnsi="宋体" w:eastAsia="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9" w:type="dxa"/>
            <w:vAlign w:val="center"/>
          </w:tcPr>
          <w:p>
            <w:pPr>
              <w:contextualSpacing/>
              <w:jc w:val="center"/>
              <w:rPr>
                <w:rFonts w:ascii="宋体" w:hAnsi="宋体"/>
                <w:szCs w:val="21"/>
              </w:rPr>
            </w:pPr>
            <w:r>
              <w:rPr>
                <w:rFonts w:hint="eastAsia" w:ascii="宋体" w:hAnsi="宋体"/>
                <w:szCs w:val="21"/>
              </w:rPr>
              <w:t>2</w:t>
            </w:r>
          </w:p>
        </w:tc>
        <w:tc>
          <w:tcPr>
            <w:tcW w:w="1899" w:type="dxa"/>
            <w:vAlign w:val="center"/>
          </w:tcPr>
          <w:p>
            <w:pPr>
              <w:contextualSpacing/>
              <w:jc w:val="center"/>
              <w:rPr>
                <w:rFonts w:ascii="宋体" w:hAnsi="宋体"/>
                <w:szCs w:val="21"/>
              </w:rPr>
            </w:pPr>
            <w:r>
              <w:rPr>
                <w:rFonts w:hint="eastAsia" w:ascii="宋体" w:hAnsi="宋体"/>
                <w:szCs w:val="21"/>
              </w:rPr>
              <w:t>细度模数</w:t>
            </w:r>
          </w:p>
        </w:tc>
        <w:tc>
          <w:tcPr>
            <w:tcW w:w="2125" w:type="dxa"/>
            <w:vAlign w:val="center"/>
          </w:tcPr>
          <w:p>
            <w:pPr>
              <w:contextualSpacing/>
              <w:jc w:val="center"/>
              <w:rPr>
                <w:rFonts w:ascii="宋体" w:hAnsi="宋体"/>
                <w:szCs w:val="21"/>
              </w:rPr>
            </w:pPr>
            <w:r>
              <w:rPr>
                <w:rFonts w:hint="eastAsia" w:ascii="宋体" w:hAnsi="宋体"/>
                <w:szCs w:val="21"/>
              </w:rPr>
              <w:t>GB/T 14684</w:t>
            </w:r>
          </w:p>
        </w:tc>
        <w:tc>
          <w:tcPr>
            <w:tcW w:w="1817" w:type="dxa"/>
            <w:vAlign w:val="center"/>
          </w:tcPr>
          <w:p>
            <w:pPr>
              <w:contextualSpacing/>
              <w:jc w:val="center"/>
              <w:rPr>
                <w:rFonts w:ascii="宋体" w:hAnsi="宋体"/>
                <w:szCs w:val="21"/>
              </w:rPr>
            </w:pPr>
            <w:r>
              <w:rPr>
                <w:rFonts w:hint="eastAsia" w:ascii="宋体" w:hAnsi="宋体"/>
                <w:szCs w:val="21"/>
              </w:rPr>
              <w:t>GB/T 14684</w:t>
            </w:r>
          </w:p>
        </w:tc>
        <w:tc>
          <w:tcPr>
            <w:tcW w:w="708" w:type="dxa"/>
            <w:vAlign w:val="center"/>
          </w:tcPr>
          <w:p>
            <w:pPr>
              <w:snapToGrid w:val="0"/>
              <w:jc w:val="center"/>
              <w:rPr>
                <w:rFonts w:ascii="宋体" w:hAnsi="宋体"/>
                <w:szCs w:val="21"/>
              </w:rPr>
            </w:pPr>
          </w:p>
        </w:tc>
        <w:tc>
          <w:tcPr>
            <w:tcW w:w="1091" w:type="dxa"/>
            <w:gridSpan w:val="2"/>
            <w:vAlign w:val="center"/>
          </w:tcPr>
          <w:p>
            <w:pPr>
              <w:snapToGrid w:val="0"/>
              <w:jc w:val="center"/>
              <w:rPr>
                <w:rFonts w:ascii="宋体" w:hAnsi="宋体"/>
                <w:szCs w:val="21"/>
              </w:rPr>
            </w:pPr>
            <w:r>
              <w:rPr>
                <w:rFonts w:hint="eastAsia" w:ascii="仿宋_GB2312" w:hAnsi="宋体" w:eastAsia="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9" w:type="dxa"/>
            <w:vAlign w:val="center"/>
          </w:tcPr>
          <w:p>
            <w:pPr>
              <w:contextualSpacing/>
              <w:jc w:val="center"/>
              <w:rPr>
                <w:rFonts w:ascii="宋体" w:hAnsi="宋体"/>
                <w:szCs w:val="21"/>
              </w:rPr>
            </w:pPr>
            <w:r>
              <w:rPr>
                <w:rFonts w:hint="eastAsia" w:ascii="宋体" w:hAnsi="宋体"/>
                <w:szCs w:val="21"/>
              </w:rPr>
              <w:t>3</w:t>
            </w:r>
          </w:p>
        </w:tc>
        <w:tc>
          <w:tcPr>
            <w:tcW w:w="1899" w:type="dxa"/>
            <w:vAlign w:val="center"/>
          </w:tcPr>
          <w:p>
            <w:pPr>
              <w:contextualSpacing/>
              <w:jc w:val="center"/>
              <w:rPr>
                <w:rFonts w:ascii="宋体" w:hAnsi="宋体"/>
                <w:szCs w:val="21"/>
              </w:rPr>
            </w:pPr>
            <w:r>
              <w:rPr>
                <w:rFonts w:hint="eastAsia" w:ascii="宋体" w:hAnsi="宋体"/>
                <w:szCs w:val="21"/>
              </w:rPr>
              <w:t>石粉含量</w:t>
            </w:r>
          </w:p>
        </w:tc>
        <w:tc>
          <w:tcPr>
            <w:tcW w:w="2125" w:type="dxa"/>
            <w:vAlign w:val="center"/>
          </w:tcPr>
          <w:p>
            <w:pPr>
              <w:contextualSpacing/>
              <w:jc w:val="center"/>
              <w:rPr>
                <w:rFonts w:ascii="宋体" w:hAnsi="宋体"/>
                <w:szCs w:val="21"/>
              </w:rPr>
            </w:pPr>
            <w:r>
              <w:rPr>
                <w:rFonts w:hint="eastAsia" w:ascii="宋体" w:hAnsi="宋体"/>
                <w:szCs w:val="21"/>
              </w:rPr>
              <w:t>GB/T 14684</w:t>
            </w:r>
          </w:p>
        </w:tc>
        <w:tc>
          <w:tcPr>
            <w:tcW w:w="1817" w:type="dxa"/>
            <w:vAlign w:val="center"/>
          </w:tcPr>
          <w:p>
            <w:pPr>
              <w:contextualSpacing/>
              <w:jc w:val="center"/>
              <w:rPr>
                <w:rFonts w:ascii="宋体" w:hAnsi="宋体"/>
                <w:szCs w:val="21"/>
              </w:rPr>
            </w:pPr>
            <w:r>
              <w:rPr>
                <w:rFonts w:hint="eastAsia" w:ascii="宋体" w:hAnsi="宋体"/>
                <w:szCs w:val="21"/>
              </w:rPr>
              <w:t>GB/T 14684</w:t>
            </w:r>
          </w:p>
        </w:tc>
        <w:tc>
          <w:tcPr>
            <w:tcW w:w="708" w:type="dxa"/>
            <w:vAlign w:val="center"/>
          </w:tcPr>
          <w:p>
            <w:pPr>
              <w:snapToGrid w:val="0"/>
              <w:jc w:val="center"/>
              <w:rPr>
                <w:rFonts w:ascii="宋体" w:hAnsi="宋体"/>
                <w:szCs w:val="21"/>
              </w:rPr>
            </w:pPr>
          </w:p>
        </w:tc>
        <w:tc>
          <w:tcPr>
            <w:tcW w:w="1091" w:type="dxa"/>
            <w:gridSpan w:val="2"/>
            <w:vAlign w:val="center"/>
          </w:tcPr>
          <w:p>
            <w:pPr>
              <w:snapToGrid w:val="0"/>
              <w:jc w:val="center"/>
              <w:rPr>
                <w:rFonts w:ascii="宋体" w:hAnsi="宋体"/>
                <w:szCs w:val="21"/>
              </w:rPr>
            </w:pPr>
            <w:r>
              <w:rPr>
                <w:rFonts w:hint="eastAsia" w:ascii="仿宋_GB2312" w:hAnsi="宋体" w:eastAsia="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9" w:type="dxa"/>
            <w:vAlign w:val="center"/>
          </w:tcPr>
          <w:p>
            <w:pPr>
              <w:contextualSpacing/>
              <w:jc w:val="center"/>
              <w:rPr>
                <w:rFonts w:ascii="宋体" w:hAnsi="宋体"/>
                <w:szCs w:val="21"/>
              </w:rPr>
            </w:pPr>
            <w:r>
              <w:rPr>
                <w:rFonts w:hint="eastAsia" w:ascii="宋体" w:hAnsi="宋体"/>
                <w:szCs w:val="21"/>
              </w:rPr>
              <w:t>4</w:t>
            </w:r>
          </w:p>
        </w:tc>
        <w:tc>
          <w:tcPr>
            <w:tcW w:w="1899" w:type="dxa"/>
            <w:vAlign w:val="center"/>
          </w:tcPr>
          <w:p>
            <w:pPr>
              <w:contextualSpacing/>
              <w:jc w:val="center"/>
              <w:rPr>
                <w:rFonts w:ascii="宋体" w:hAnsi="宋体"/>
                <w:szCs w:val="21"/>
              </w:rPr>
            </w:pPr>
            <w:r>
              <w:rPr>
                <w:rFonts w:hint="eastAsia" w:ascii="宋体" w:hAnsi="宋体"/>
                <w:szCs w:val="21"/>
              </w:rPr>
              <w:t>泥块含量</w:t>
            </w:r>
          </w:p>
        </w:tc>
        <w:tc>
          <w:tcPr>
            <w:tcW w:w="2125" w:type="dxa"/>
            <w:vAlign w:val="center"/>
          </w:tcPr>
          <w:p>
            <w:pPr>
              <w:contextualSpacing/>
              <w:jc w:val="center"/>
              <w:rPr>
                <w:rFonts w:ascii="宋体" w:hAnsi="宋体"/>
                <w:szCs w:val="21"/>
              </w:rPr>
            </w:pPr>
            <w:r>
              <w:rPr>
                <w:rFonts w:hint="eastAsia" w:ascii="宋体" w:hAnsi="宋体"/>
                <w:szCs w:val="21"/>
              </w:rPr>
              <w:t>GB/T 14684</w:t>
            </w:r>
          </w:p>
        </w:tc>
        <w:tc>
          <w:tcPr>
            <w:tcW w:w="1817" w:type="dxa"/>
            <w:vAlign w:val="center"/>
          </w:tcPr>
          <w:p>
            <w:pPr>
              <w:contextualSpacing/>
              <w:jc w:val="center"/>
              <w:rPr>
                <w:rFonts w:ascii="宋体" w:hAnsi="宋体"/>
                <w:szCs w:val="21"/>
              </w:rPr>
            </w:pPr>
            <w:r>
              <w:rPr>
                <w:rFonts w:hint="eastAsia" w:ascii="宋体" w:hAnsi="宋体"/>
                <w:szCs w:val="21"/>
              </w:rPr>
              <w:t>GB/T 14684</w:t>
            </w:r>
          </w:p>
        </w:tc>
        <w:tc>
          <w:tcPr>
            <w:tcW w:w="708" w:type="dxa"/>
            <w:vAlign w:val="center"/>
          </w:tcPr>
          <w:p>
            <w:pPr>
              <w:snapToGrid w:val="0"/>
              <w:jc w:val="center"/>
              <w:rPr>
                <w:rFonts w:ascii="宋体" w:hAnsi="宋体"/>
                <w:szCs w:val="21"/>
              </w:rPr>
            </w:pPr>
          </w:p>
        </w:tc>
        <w:tc>
          <w:tcPr>
            <w:tcW w:w="1091" w:type="dxa"/>
            <w:gridSpan w:val="2"/>
            <w:vAlign w:val="center"/>
          </w:tcPr>
          <w:p>
            <w:pPr>
              <w:snapToGrid w:val="0"/>
              <w:jc w:val="center"/>
              <w:rPr>
                <w:rFonts w:ascii="宋体" w:hAnsi="宋体"/>
                <w:szCs w:val="21"/>
              </w:rPr>
            </w:pPr>
            <w:r>
              <w:rPr>
                <w:rFonts w:hint="eastAsia" w:ascii="仿宋_GB2312" w:hAnsi="宋体" w:eastAsia="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9" w:type="dxa"/>
            <w:vAlign w:val="center"/>
          </w:tcPr>
          <w:p>
            <w:pPr>
              <w:contextualSpacing/>
              <w:jc w:val="center"/>
              <w:rPr>
                <w:rFonts w:hint="eastAsia" w:ascii="宋体" w:hAnsi="宋体" w:eastAsia="宋体"/>
                <w:szCs w:val="21"/>
                <w:lang w:eastAsia="zh-CN"/>
              </w:rPr>
            </w:pPr>
            <w:r>
              <w:rPr>
                <w:rFonts w:hint="eastAsia" w:ascii="宋体" w:hAnsi="宋体"/>
                <w:szCs w:val="21"/>
                <w:lang w:val="en-US" w:eastAsia="zh-CN"/>
              </w:rPr>
              <w:t>5</w:t>
            </w:r>
          </w:p>
        </w:tc>
        <w:tc>
          <w:tcPr>
            <w:tcW w:w="1899" w:type="dxa"/>
            <w:vAlign w:val="center"/>
          </w:tcPr>
          <w:p>
            <w:pPr>
              <w:contextualSpacing/>
              <w:jc w:val="center"/>
              <w:rPr>
                <w:rFonts w:ascii="宋体" w:hAnsi="宋体"/>
                <w:szCs w:val="21"/>
              </w:rPr>
            </w:pPr>
            <w:r>
              <w:rPr>
                <w:rFonts w:hint="eastAsia" w:ascii="宋体" w:hAnsi="宋体"/>
                <w:szCs w:val="21"/>
              </w:rPr>
              <w:t>坚固性（质量损失）</w:t>
            </w:r>
          </w:p>
        </w:tc>
        <w:tc>
          <w:tcPr>
            <w:tcW w:w="2125" w:type="dxa"/>
            <w:vAlign w:val="center"/>
          </w:tcPr>
          <w:p>
            <w:pPr>
              <w:contextualSpacing/>
              <w:jc w:val="center"/>
              <w:rPr>
                <w:rFonts w:ascii="宋体" w:hAnsi="宋体"/>
                <w:szCs w:val="21"/>
              </w:rPr>
            </w:pPr>
            <w:r>
              <w:rPr>
                <w:rFonts w:hint="eastAsia" w:ascii="宋体" w:hAnsi="宋体"/>
                <w:szCs w:val="21"/>
              </w:rPr>
              <w:t>GB/T 14684</w:t>
            </w:r>
          </w:p>
        </w:tc>
        <w:tc>
          <w:tcPr>
            <w:tcW w:w="1817" w:type="dxa"/>
            <w:vAlign w:val="center"/>
          </w:tcPr>
          <w:p>
            <w:pPr>
              <w:contextualSpacing/>
              <w:jc w:val="center"/>
              <w:rPr>
                <w:rFonts w:ascii="宋体" w:hAnsi="宋体"/>
                <w:szCs w:val="21"/>
              </w:rPr>
            </w:pPr>
            <w:r>
              <w:rPr>
                <w:rFonts w:hint="eastAsia" w:ascii="宋体" w:hAnsi="宋体"/>
                <w:szCs w:val="21"/>
              </w:rPr>
              <w:t>GB/T 14684</w:t>
            </w:r>
          </w:p>
        </w:tc>
        <w:tc>
          <w:tcPr>
            <w:tcW w:w="708" w:type="dxa"/>
            <w:vAlign w:val="center"/>
          </w:tcPr>
          <w:p>
            <w:pPr>
              <w:snapToGrid w:val="0"/>
              <w:jc w:val="center"/>
              <w:rPr>
                <w:rFonts w:ascii="宋体" w:hAnsi="宋体"/>
                <w:szCs w:val="21"/>
              </w:rPr>
            </w:pPr>
          </w:p>
        </w:tc>
        <w:tc>
          <w:tcPr>
            <w:tcW w:w="1091" w:type="dxa"/>
            <w:gridSpan w:val="2"/>
            <w:vAlign w:val="center"/>
          </w:tcPr>
          <w:p>
            <w:pPr>
              <w:snapToGrid w:val="0"/>
              <w:jc w:val="center"/>
              <w:rPr>
                <w:rFonts w:ascii="宋体" w:hAnsi="宋体"/>
                <w:szCs w:val="21"/>
              </w:rPr>
            </w:pPr>
            <w:r>
              <w:rPr>
                <w:rFonts w:hint="eastAsia" w:ascii="仿宋_GB2312" w:hAnsi="宋体" w:eastAsia="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9" w:type="dxa"/>
            <w:vAlign w:val="center"/>
          </w:tcPr>
          <w:p>
            <w:pPr>
              <w:contextualSpacing/>
              <w:jc w:val="center"/>
              <w:rPr>
                <w:rFonts w:hint="eastAsia" w:ascii="宋体" w:hAnsi="宋体" w:eastAsia="宋体"/>
                <w:szCs w:val="21"/>
                <w:lang w:eastAsia="zh-CN"/>
              </w:rPr>
            </w:pPr>
            <w:r>
              <w:rPr>
                <w:rFonts w:hint="eastAsia" w:ascii="宋体" w:hAnsi="宋体"/>
                <w:szCs w:val="21"/>
                <w:lang w:val="en-US" w:eastAsia="zh-CN"/>
              </w:rPr>
              <w:t>6</w:t>
            </w:r>
          </w:p>
        </w:tc>
        <w:tc>
          <w:tcPr>
            <w:tcW w:w="1899" w:type="dxa"/>
            <w:vAlign w:val="center"/>
          </w:tcPr>
          <w:p>
            <w:pPr>
              <w:keepLines/>
              <w:suppressLineNumbers/>
              <w:suppressAutoHyphens/>
              <w:spacing w:line="300" w:lineRule="exact"/>
              <w:jc w:val="center"/>
              <w:rPr>
                <w:rFonts w:ascii="宋体" w:hAnsi="宋体"/>
                <w:szCs w:val="21"/>
              </w:rPr>
            </w:pPr>
            <w:r>
              <w:rPr>
                <w:rFonts w:hint="eastAsia" w:ascii="宋体" w:hAnsi="宋体"/>
                <w:szCs w:val="21"/>
              </w:rPr>
              <w:t>压碎指标</w:t>
            </w:r>
          </w:p>
        </w:tc>
        <w:tc>
          <w:tcPr>
            <w:tcW w:w="2125" w:type="dxa"/>
            <w:vAlign w:val="center"/>
          </w:tcPr>
          <w:p>
            <w:pPr>
              <w:contextualSpacing/>
              <w:jc w:val="center"/>
              <w:rPr>
                <w:rFonts w:ascii="宋体" w:hAnsi="宋体"/>
                <w:szCs w:val="21"/>
              </w:rPr>
            </w:pPr>
            <w:r>
              <w:rPr>
                <w:rFonts w:hint="eastAsia" w:ascii="宋体" w:hAnsi="宋体"/>
                <w:szCs w:val="21"/>
              </w:rPr>
              <w:t>GB/T 14684</w:t>
            </w:r>
          </w:p>
        </w:tc>
        <w:tc>
          <w:tcPr>
            <w:tcW w:w="1817" w:type="dxa"/>
            <w:vAlign w:val="center"/>
          </w:tcPr>
          <w:p>
            <w:pPr>
              <w:contextualSpacing/>
              <w:jc w:val="center"/>
              <w:rPr>
                <w:rFonts w:ascii="宋体" w:hAnsi="宋体"/>
                <w:szCs w:val="21"/>
              </w:rPr>
            </w:pPr>
            <w:r>
              <w:rPr>
                <w:rFonts w:hint="eastAsia" w:ascii="宋体" w:hAnsi="宋体"/>
                <w:szCs w:val="21"/>
              </w:rPr>
              <w:t>GB/T 14684</w:t>
            </w:r>
          </w:p>
        </w:tc>
        <w:tc>
          <w:tcPr>
            <w:tcW w:w="708" w:type="dxa"/>
            <w:vAlign w:val="center"/>
          </w:tcPr>
          <w:p>
            <w:pPr>
              <w:snapToGrid w:val="0"/>
              <w:jc w:val="center"/>
              <w:rPr>
                <w:rFonts w:ascii="仿宋_GB2312" w:hAnsi="宋体" w:eastAsia="仿宋_GB2312"/>
                <w:szCs w:val="21"/>
              </w:rPr>
            </w:pPr>
          </w:p>
        </w:tc>
        <w:tc>
          <w:tcPr>
            <w:tcW w:w="1091" w:type="dxa"/>
            <w:gridSpan w:val="2"/>
            <w:vAlign w:val="center"/>
          </w:tcPr>
          <w:p>
            <w:pPr>
              <w:snapToGrid w:val="0"/>
              <w:jc w:val="center"/>
              <w:rPr>
                <w:rFonts w:ascii="宋体" w:hAnsi="宋体"/>
                <w:szCs w:val="21"/>
              </w:rPr>
            </w:pPr>
            <w:r>
              <w:rPr>
                <w:rFonts w:hint="eastAsia" w:ascii="仿宋_GB2312" w:hAnsi="宋体" w:eastAsia="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9" w:type="dxa"/>
            <w:vAlign w:val="center"/>
          </w:tcPr>
          <w:p>
            <w:pPr>
              <w:contextualSpacing/>
              <w:jc w:val="center"/>
              <w:rPr>
                <w:rFonts w:hint="eastAsia" w:ascii="宋体" w:hAnsi="宋体" w:eastAsia="宋体"/>
                <w:szCs w:val="21"/>
                <w:lang w:eastAsia="zh-CN"/>
              </w:rPr>
            </w:pPr>
            <w:r>
              <w:rPr>
                <w:rFonts w:hint="eastAsia" w:ascii="宋体" w:hAnsi="宋体"/>
                <w:szCs w:val="21"/>
                <w:lang w:val="en-US" w:eastAsia="zh-CN"/>
              </w:rPr>
              <w:t>7</w:t>
            </w:r>
          </w:p>
        </w:tc>
        <w:tc>
          <w:tcPr>
            <w:tcW w:w="1899" w:type="dxa"/>
            <w:vAlign w:val="center"/>
          </w:tcPr>
          <w:p>
            <w:pPr>
              <w:keepLines/>
              <w:suppressLineNumbers/>
              <w:suppressAutoHyphens/>
              <w:spacing w:line="300" w:lineRule="exact"/>
              <w:jc w:val="center"/>
              <w:rPr>
                <w:rFonts w:ascii="宋体" w:hAnsi="宋体"/>
                <w:szCs w:val="21"/>
              </w:rPr>
            </w:pPr>
            <w:r>
              <w:rPr>
                <w:rFonts w:hint="eastAsia" w:ascii="宋体" w:hAnsi="宋体"/>
                <w:szCs w:val="21"/>
              </w:rPr>
              <w:t>表观密度</w:t>
            </w:r>
          </w:p>
        </w:tc>
        <w:tc>
          <w:tcPr>
            <w:tcW w:w="2125" w:type="dxa"/>
            <w:vAlign w:val="center"/>
          </w:tcPr>
          <w:p>
            <w:pPr>
              <w:contextualSpacing/>
              <w:jc w:val="center"/>
              <w:rPr>
                <w:rFonts w:ascii="宋体" w:hAnsi="宋体"/>
                <w:szCs w:val="21"/>
              </w:rPr>
            </w:pPr>
            <w:r>
              <w:rPr>
                <w:rFonts w:hint="eastAsia" w:ascii="宋体" w:hAnsi="宋体"/>
                <w:szCs w:val="21"/>
              </w:rPr>
              <w:t>GB/T 14684</w:t>
            </w:r>
          </w:p>
        </w:tc>
        <w:tc>
          <w:tcPr>
            <w:tcW w:w="1817" w:type="dxa"/>
            <w:vAlign w:val="center"/>
          </w:tcPr>
          <w:p>
            <w:pPr>
              <w:contextualSpacing/>
              <w:jc w:val="center"/>
              <w:rPr>
                <w:rFonts w:ascii="宋体" w:hAnsi="宋体"/>
                <w:szCs w:val="21"/>
              </w:rPr>
            </w:pPr>
            <w:r>
              <w:rPr>
                <w:rFonts w:hint="eastAsia" w:ascii="宋体" w:hAnsi="宋体"/>
                <w:szCs w:val="21"/>
              </w:rPr>
              <w:t>GB/T 14684</w:t>
            </w:r>
          </w:p>
        </w:tc>
        <w:tc>
          <w:tcPr>
            <w:tcW w:w="708" w:type="dxa"/>
            <w:vAlign w:val="center"/>
          </w:tcPr>
          <w:p>
            <w:pPr>
              <w:snapToGrid w:val="0"/>
              <w:jc w:val="center"/>
              <w:rPr>
                <w:rFonts w:ascii="仿宋_GB2312" w:hAnsi="宋体" w:eastAsia="仿宋_GB2312"/>
                <w:szCs w:val="21"/>
              </w:rPr>
            </w:pPr>
          </w:p>
        </w:tc>
        <w:tc>
          <w:tcPr>
            <w:tcW w:w="1091" w:type="dxa"/>
            <w:gridSpan w:val="2"/>
            <w:vAlign w:val="center"/>
          </w:tcPr>
          <w:p>
            <w:pPr>
              <w:snapToGrid w:val="0"/>
              <w:jc w:val="center"/>
              <w:rPr>
                <w:rFonts w:ascii="宋体" w:hAnsi="宋体"/>
                <w:szCs w:val="21"/>
              </w:rPr>
            </w:pPr>
            <w:r>
              <w:rPr>
                <w:rFonts w:hint="eastAsia" w:ascii="仿宋_GB2312" w:hAnsi="宋体" w:eastAsia="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9" w:type="dxa"/>
            <w:vAlign w:val="center"/>
          </w:tcPr>
          <w:p>
            <w:pPr>
              <w:contextualSpacing/>
              <w:jc w:val="center"/>
              <w:rPr>
                <w:rFonts w:hint="eastAsia" w:ascii="宋体" w:hAnsi="宋体" w:eastAsia="宋体"/>
                <w:szCs w:val="21"/>
                <w:lang w:eastAsia="zh-CN"/>
              </w:rPr>
            </w:pPr>
            <w:bookmarkStart w:id="0" w:name="_GoBack" w:colFirst="2" w:colLast="2"/>
            <w:r>
              <w:rPr>
                <w:rFonts w:hint="eastAsia" w:ascii="宋体" w:hAnsi="宋体"/>
                <w:szCs w:val="21"/>
                <w:lang w:val="en-US" w:eastAsia="zh-CN"/>
              </w:rPr>
              <w:t>8</w:t>
            </w:r>
          </w:p>
        </w:tc>
        <w:tc>
          <w:tcPr>
            <w:tcW w:w="1899" w:type="dxa"/>
            <w:vAlign w:val="center"/>
          </w:tcPr>
          <w:p>
            <w:pPr>
              <w:contextualSpacing/>
              <w:jc w:val="center"/>
              <w:rPr>
                <w:rFonts w:ascii="宋体" w:hAnsi="宋体"/>
                <w:szCs w:val="21"/>
              </w:rPr>
            </w:pPr>
            <w:r>
              <w:rPr>
                <w:rFonts w:hint="eastAsia" w:ascii="宋体" w:hAnsi="宋体"/>
                <w:szCs w:val="21"/>
              </w:rPr>
              <w:t>放射性</w:t>
            </w:r>
          </w:p>
        </w:tc>
        <w:tc>
          <w:tcPr>
            <w:tcW w:w="2125" w:type="dxa"/>
            <w:vAlign w:val="center"/>
          </w:tcPr>
          <w:p>
            <w:pPr>
              <w:contextualSpacing/>
              <w:jc w:val="center"/>
              <w:rPr>
                <w:rFonts w:ascii="宋体" w:hAnsi="宋体"/>
                <w:szCs w:val="21"/>
              </w:rPr>
            </w:pPr>
            <w:r>
              <w:rPr>
                <w:rFonts w:hint="eastAsia" w:ascii="宋体" w:hAnsi="宋体"/>
                <w:szCs w:val="21"/>
              </w:rPr>
              <w:t>GB/T 14684</w:t>
            </w:r>
          </w:p>
        </w:tc>
        <w:tc>
          <w:tcPr>
            <w:tcW w:w="1817" w:type="dxa"/>
            <w:vAlign w:val="center"/>
          </w:tcPr>
          <w:p>
            <w:pPr>
              <w:contextualSpacing/>
              <w:jc w:val="center"/>
              <w:rPr>
                <w:rFonts w:ascii="宋体" w:hAnsi="宋体"/>
                <w:szCs w:val="21"/>
              </w:rPr>
            </w:pPr>
            <w:r>
              <w:rPr>
                <w:rFonts w:hint="eastAsia" w:ascii="宋体" w:hAnsi="宋体"/>
                <w:szCs w:val="21"/>
              </w:rPr>
              <w:t>GB 6566</w:t>
            </w:r>
          </w:p>
        </w:tc>
        <w:tc>
          <w:tcPr>
            <w:tcW w:w="708" w:type="dxa"/>
            <w:vAlign w:val="center"/>
          </w:tcPr>
          <w:p>
            <w:pPr>
              <w:snapToGrid w:val="0"/>
              <w:jc w:val="center"/>
              <w:rPr>
                <w:rFonts w:ascii="仿宋_GB2312" w:hAnsi="宋体" w:eastAsia="仿宋_GB2312"/>
                <w:szCs w:val="21"/>
              </w:rPr>
            </w:pPr>
            <w:r>
              <w:rPr>
                <w:rFonts w:hint="eastAsia" w:ascii="仿宋_GB2312" w:hAnsi="宋体" w:eastAsia="仿宋_GB2312"/>
                <w:szCs w:val="21"/>
              </w:rPr>
              <w:t>●</w:t>
            </w:r>
          </w:p>
        </w:tc>
        <w:tc>
          <w:tcPr>
            <w:tcW w:w="1091" w:type="dxa"/>
            <w:gridSpan w:val="2"/>
            <w:vAlign w:val="center"/>
          </w:tcPr>
          <w:p>
            <w:pPr>
              <w:snapToGrid w:val="0"/>
              <w:jc w:val="center"/>
              <w:rPr>
                <w:rFonts w:ascii="宋体" w:hAnsi="宋体"/>
                <w:szCs w:val="21"/>
              </w:rPr>
            </w:pP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9" w:type="dxa"/>
            <w:gridSpan w:val="7"/>
            <w:vAlign w:val="center"/>
          </w:tcPr>
          <w:p>
            <w:pPr>
              <w:snapToGrid w:val="0"/>
              <w:rPr>
                <w:rFonts w:ascii="宋体" w:hAnsi="宋体"/>
                <w:szCs w:val="21"/>
              </w:rPr>
            </w:pPr>
            <w:r>
              <w:rPr>
                <w:rFonts w:ascii="宋体" w:hAnsi="宋体"/>
                <w:szCs w:val="21"/>
                <w:vertAlign w:val="superscript"/>
              </w:rPr>
              <w:t>a</w:t>
            </w:r>
            <w:r>
              <w:rPr>
                <w:rFonts w:hint="eastAsia" w:ascii="宋体" w:hAnsi="宋体"/>
                <w:szCs w:val="21"/>
              </w:rPr>
              <w:t>极重要质量项目</w:t>
            </w:r>
          </w:p>
          <w:p>
            <w:pPr>
              <w:snapToGrid w:val="0"/>
              <w:rPr>
                <w:rFonts w:ascii="宋体" w:hAnsi="宋体"/>
                <w:szCs w:val="21"/>
              </w:rPr>
            </w:pPr>
            <w:r>
              <w:rPr>
                <w:rFonts w:ascii="宋体" w:hAnsi="宋体"/>
                <w:szCs w:val="21"/>
                <w:vertAlign w:val="superscript"/>
              </w:rPr>
              <w:t>b</w:t>
            </w:r>
            <w:r>
              <w:rPr>
                <w:rFonts w:hint="eastAsia" w:ascii="宋体" w:hAnsi="宋体"/>
                <w:szCs w:val="21"/>
              </w:rPr>
              <w:t>重要质量项目</w:t>
            </w:r>
          </w:p>
        </w:tc>
      </w:tr>
    </w:tbl>
    <w:p>
      <w:pPr>
        <w:adjustRightInd w:val="0"/>
        <w:snapToGrid w:val="0"/>
        <w:ind w:firstLine="420" w:firstLineChars="200"/>
        <w:rPr>
          <w:rFonts w:ascii="仿宋_GB2312" w:hAnsi="宋体" w:eastAsia="仿宋_GB2312"/>
          <w:color w:val="000000" w:themeColor="text1"/>
          <w:szCs w:val="21"/>
        </w:rPr>
      </w:pPr>
      <w:r>
        <w:rPr>
          <w:rFonts w:hint="eastAsia" w:ascii="仿宋_GB2312" w:hAnsi="宋体" w:eastAsia="仿宋_GB2312"/>
          <w:color w:val="000000" w:themeColor="text1"/>
          <w:szCs w:val="21"/>
        </w:rPr>
        <w:t>注1：极重要质量项目是指直接涉及人体健康、使用安全的指标；重要质量项目是指产品涉及环保、能效、关键性能或特征值的指标。</w:t>
      </w:r>
    </w:p>
    <w:p>
      <w:pPr>
        <w:adjustRightInd w:val="0"/>
        <w:snapToGrid w:val="0"/>
        <w:ind w:firstLine="420" w:firstLineChars="200"/>
        <w:rPr>
          <w:rFonts w:ascii="仿宋_GB2312" w:hAnsi="宋体" w:eastAsia="仿宋_GB2312"/>
          <w:color w:val="000000" w:themeColor="text1"/>
          <w:szCs w:val="21"/>
        </w:rPr>
      </w:pPr>
      <w:r>
        <w:rPr>
          <w:rFonts w:hint="eastAsia" w:ascii="仿宋_GB2312" w:hAnsi="宋体" w:eastAsia="仿宋_GB2312"/>
          <w:color w:val="000000" w:themeColor="text1"/>
          <w:szCs w:val="21"/>
        </w:rPr>
        <w:t>注2：</w:t>
      </w:r>
      <w:r>
        <w:rPr>
          <w:rFonts w:hint="eastAsia" w:ascii="仿宋_GB2312" w:hAnsi="宋体" w:eastAsia="仿宋_GB2312"/>
          <w:szCs w:val="21"/>
        </w:rPr>
        <w:t>表3</w:t>
      </w:r>
      <w:r>
        <w:rPr>
          <w:rFonts w:hint="eastAsia" w:ascii="仿宋_GB2312" w:hAnsi="宋体" w:eastAsia="仿宋_GB2312"/>
          <w:color w:val="000000" w:themeColor="text1"/>
          <w:szCs w:val="21"/>
        </w:rPr>
        <w:t>所列检验项目是有关法律法规、标准等规定的，重点涉及健康、安全、节能、环保以及消费者，有关组织反映有质量问题的重要项目。</w:t>
      </w:r>
    </w:p>
    <w:p>
      <w:pPr>
        <w:adjustRightInd w:val="0"/>
        <w:snapToGrid w:val="0"/>
        <w:ind w:firstLine="420" w:firstLineChars="200"/>
        <w:rPr>
          <w:rFonts w:ascii="仿宋_GB2312" w:hAnsi="宋体" w:eastAsia="仿宋_GB2312"/>
          <w:color w:val="000000" w:themeColor="text1"/>
          <w:szCs w:val="21"/>
        </w:rPr>
      </w:pPr>
    </w:p>
    <w:p>
      <w:pPr>
        <w:adjustRightInd w:val="0"/>
        <w:snapToGrid w:val="0"/>
        <w:spacing w:line="360" w:lineRule="auto"/>
        <w:ind w:firstLine="562" w:firstLineChars="200"/>
        <w:rPr>
          <w:rFonts w:ascii="仿宋_GB2312" w:eastAsia="仿宋_GB2312"/>
          <w:b/>
          <w:sz w:val="28"/>
          <w:szCs w:val="28"/>
        </w:rPr>
      </w:pPr>
      <w:r>
        <w:rPr>
          <w:rFonts w:hint="eastAsia" w:ascii="仿宋_GB2312" w:eastAsia="仿宋_GB2312"/>
          <w:b/>
          <w:sz w:val="28"/>
          <w:szCs w:val="28"/>
        </w:rPr>
        <w:t>6.2检验应注意的问题</w:t>
      </w:r>
    </w:p>
    <w:p>
      <w:pPr>
        <w:adjustRightInd w:val="0"/>
        <w:snapToGrid w:val="0"/>
        <w:spacing w:line="360" w:lineRule="auto"/>
        <w:ind w:firstLine="560" w:firstLineChars="200"/>
        <w:rPr>
          <w:rFonts w:ascii="仿宋_GB2312" w:eastAsia="仿宋_GB2312"/>
          <w:sz w:val="28"/>
          <w:szCs w:val="28"/>
        </w:rPr>
      </w:pPr>
      <w:r>
        <w:rPr>
          <w:rFonts w:hint="eastAsia" w:ascii="仿宋_GB2312" w:eastAsia="仿宋_GB2312"/>
          <w:sz w:val="28"/>
          <w:szCs w:val="28"/>
        </w:rPr>
        <w:t>若被检产品明示的质量要求高于本细则中检验项目依据的标准要求时，应按被检产品明示的质量要求判定。</w:t>
      </w:r>
    </w:p>
    <w:p>
      <w:pPr>
        <w:adjustRightInd w:val="0"/>
        <w:snapToGrid w:val="0"/>
        <w:spacing w:line="360" w:lineRule="auto"/>
        <w:ind w:firstLine="560" w:firstLineChars="200"/>
        <w:rPr>
          <w:rFonts w:ascii="仿宋_GB2312" w:eastAsia="仿宋_GB2312"/>
          <w:sz w:val="28"/>
          <w:szCs w:val="28"/>
        </w:rPr>
      </w:pPr>
      <w:r>
        <w:rPr>
          <w:rFonts w:hint="eastAsia" w:ascii="仿宋_GB2312" w:eastAsia="仿宋_GB2312"/>
          <w:sz w:val="28"/>
          <w:szCs w:val="28"/>
        </w:rPr>
        <w:t>若被检产品明示的质量要求低于本细则中检验项目依据的强制性标准要求时，应按照强制性标准要求判定。</w:t>
      </w:r>
    </w:p>
    <w:p>
      <w:pPr>
        <w:adjustRightInd w:val="0"/>
        <w:snapToGrid w:val="0"/>
        <w:spacing w:line="360" w:lineRule="auto"/>
        <w:ind w:firstLine="560" w:firstLineChars="200"/>
        <w:rPr>
          <w:rFonts w:ascii="仿宋_GB2312" w:eastAsia="仿宋_GB2312"/>
          <w:sz w:val="28"/>
          <w:szCs w:val="28"/>
        </w:rPr>
      </w:pPr>
      <w:r>
        <w:rPr>
          <w:rFonts w:hint="eastAsia" w:ascii="仿宋_GB2312" w:eastAsia="仿宋_GB2312"/>
          <w:sz w:val="28"/>
          <w:szCs w:val="28"/>
        </w:rPr>
        <w:t>若被检产品明示的质量要求低于或包含本细则中检验项目依据的推荐性标准要求时，应以被检产品明示的质量要求判定。</w:t>
      </w:r>
    </w:p>
    <w:p>
      <w:pPr>
        <w:adjustRightInd w:val="0"/>
        <w:snapToGrid w:val="0"/>
        <w:spacing w:line="360" w:lineRule="auto"/>
        <w:ind w:firstLine="560" w:firstLineChars="200"/>
        <w:rPr>
          <w:rFonts w:ascii="仿宋_GB2312" w:eastAsia="仿宋_GB2312"/>
          <w:sz w:val="28"/>
          <w:szCs w:val="28"/>
        </w:rPr>
      </w:pPr>
      <w:r>
        <w:rPr>
          <w:rFonts w:hint="eastAsia" w:ascii="仿宋_GB2312" w:eastAsia="仿宋_GB2312"/>
          <w:sz w:val="28"/>
          <w:szCs w:val="28"/>
        </w:rPr>
        <w:t>若被检产品明示的质量要求缺少本细则中检验项目依据的强制性标准要求时，应按照强制性标准要求判定。</w:t>
      </w:r>
    </w:p>
    <w:p>
      <w:pPr>
        <w:adjustRightInd w:val="0"/>
        <w:snapToGrid w:val="0"/>
        <w:spacing w:line="360" w:lineRule="auto"/>
        <w:ind w:firstLine="560" w:firstLineChars="200"/>
        <w:rPr>
          <w:rFonts w:ascii="仿宋_GB2312" w:eastAsia="仿宋_GB2312"/>
          <w:sz w:val="28"/>
          <w:szCs w:val="28"/>
        </w:rPr>
      </w:pPr>
      <w:r>
        <w:rPr>
          <w:rFonts w:hint="eastAsia" w:ascii="仿宋_GB2312" w:eastAsia="仿宋_GB2312"/>
          <w:sz w:val="28"/>
          <w:szCs w:val="28"/>
        </w:rPr>
        <w:t>若被检产品明示的质量要求缺少本细则中检验项目依据的推荐性标准要求时，该项目不参与判定，但应在检验报告备注中进行说明。</w:t>
      </w:r>
    </w:p>
    <w:p>
      <w:pPr>
        <w:adjustRightInd w:val="0"/>
        <w:snapToGrid w:val="0"/>
        <w:spacing w:line="360" w:lineRule="auto"/>
        <w:ind w:firstLine="562" w:firstLineChars="200"/>
        <w:rPr>
          <w:rFonts w:ascii="仿宋_GB2312" w:eastAsia="仿宋_GB2312"/>
          <w:b/>
          <w:sz w:val="28"/>
          <w:szCs w:val="28"/>
        </w:rPr>
      </w:pPr>
      <w:r>
        <w:rPr>
          <w:rFonts w:hint="eastAsia" w:ascii="仿宋_GB2312" w:eastAsia="仿宋_GB2312"/>
          <w:b/>
          <w:sz w:val="28"/>
          <w:szCs w:val="28"/>
        </w:rPr>
        <w:t>7判定原则</w:t>
      </w:r>
    </w:p>
    <w:p>
      <w:pPr>
        <w:adjustRightInd w:val="0"/>
        <w:snapToGrid w:val="0"/>
        <w:spacing w:line="360" w:lineRule="auto"/>
        <w:ind w:firstLine="560" w:firstLineChars="200"/>
        <w:rPr>
          <w:rFonts w:ascii="仿宋_GB2312" w:eastAsia="仿宋_GB2312"/>
          <w:sz w:val="28"/>
          <w:szCs w:val="28"/>
        </w:rPr>
      </w:pPr>
      <w:r>
        <w:rPr>
          <w:rFonts w:hint="eastAsia" w:ascii="仿宋_GB2312" w:eastAsia="仿宋_GB2312"/>
          <w:sz w:val="28"/>
          <w:szCs w:val="28"/>
        </w:rPr>
        <w:t>7.1单项判定</w:t>
      </w:r>
    </w:p>
    <w:p>
      <w:pPr>
        <w:adjustRightInd w:val="0"/>
        <w:snapToGrid w:val="0"/>
        <w:spacing w:line="360" w:lineRule="auto"/>
        <w:ind w:firstLine="560" w:firstLineChars="200"/>
        <w:rPr>
          <w:rFonts w:ascii="仿宋_GB2312" w:eastAsia="仿宋_GB2312"/>
          <w:sz w:val="28"/>
          <w:szCs w:val="28"/>
        </w:rPr>
      </w:pPr>
      <w:r>
        <w:rPr>
          <w:rFonts w:hint="eastAsia" w:ascii="仿宋_GB2312" w:eastAsia="仿宋_GB2312"/>
          <w:sz w:val="28"/>
          <w:szCs w:val="28"/>
        </w:rPr>
        <w:t>机制砂产品质量单项判定见表</w:t>
      </w:r>
      <w:r>
        <w:rPr>
          <w:rFonts w:hint="eastAsia" w:ascii="仿宋_GB2312" w:eastAsia="仿宋_GB2312"/>
          <w:sz w:val="28"/>
          <w:szCs w:val="28"/>
          <w:lang w:val="en-US" w:eastAsia="zh-CN"/>
        </w:rPr>
        <w:t>3</w:t>
      </w:r>
      <w:r>
        <w:rPr>
          <w:rFonts w:hint="eastAsia" w:ascii="仿宋_GB2312" w:eastAsia="仿宋_GB2312"/>
          <w:sz w:val="28"/>
          <w:szCs w:val="28"/>
        </w:rPr>
        <w:t>。</w:t>
      </w:r>
    </w:p>
    <w:p>
      <w:pPr>
        <w:adjustRightInd w:val="0"/>
        <w:snapToGrid w:val="0"/>
        <w:spacing w:line="360" w:lineRule="auto"/>
        <w:ind w:firstLine="570"/>
        <w:jc w:val="center"/>
        <w:rPr>
          <w:rFonts w:ascii="仿宋_GB2312" w:eastAsia="仿宋_GB2312"/>
          <w:b/>
          <w:sz w:val="28"/>
          <w:szCs w:val="28"/>
        </w:rPr>
      </w:pPr>
      <w:r>
        <w:rPr>
          <w:rFonts w:hint="eastAsia" w:ascii="仿宋_GB2312" w:eastAsia="仿宋_GB2312"/>
          <w:b/>
          <w:sz w:val="28"/>
          <w:szCs w:val="28"/>
        </w:rPr>
        <w:t>表3 机制砂产品质量单项合格判定</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2409"/>
        <w:gridCol w:w="2268"/>
        <w:gridCol w:w="2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101" w:type="dxa"/>
            <w:vAlign w:val="center"/>
          </w:tcPr>
          <w:p>
            <w:pPr>
              <w:spacing w:line="360" w:lineRule="auto"/>
              <w:contextualSpacing/>
              <w:jc w:val="center"/>
              <w:rPr>
                <w:rFonts w:ascii="仿宋_GB2312" w:eastAsia="仿宋_GB2312"/>
                <w:szCs w:val="21"/>
              </w:rPr>
            </w:pPr>
            <w:r>
              <w:rPr>
                <w:rFonts w:hint="eastAsia" w:ascii="仿宋_GB2312" w:eastAsia="仿宋_GB2312"/>
                <w:szCs w:val="21"/>
              </w:rPr>
              <w:t>序号</w:t>
            </w:r>
          </w:p>
        </w:tc>
        <w:tc>
          <w:tcPr>
            <w:tcW w:w="2409" w:type="dxa"/>
            <w:vAlign w:val="center"/>
          </w:tcPr>
          <w:p>
            <w:pPr>
              <w:spacing w:line="360" w:lineRule="auto"/>
              <w:contextualSpacing/>
              <w:jc w:val="center"/>
              <w:rPr>
                <w:rFonts w:ascii="仿宋_GB2312" w:eastAsia="仿宋_GB2312"/>
                <w:szCs w:val="21"/>
              </w:rPr>
            </w:pPr>
            <w:r>
              <w:rPr>
                <w:rFonts w:hint="eastAsia" w:ascii="仿宋_GB2312" w:eastAsia="仿宋_GB2312"/>
                <w:szCs w:val="21"/>
              </w:rPr>
              <w:t>项目名称</w:t>
            </w:r>
          </w:p>
        </w:tc>
        <w:tc>
          <w:tcPr>
            <w:tcW w:w="2268" w:type="dxa"/>
            <w:vAlign w:val="center"/>
          </w:tcPr>
          <w:p>
            <w:pPr>
              <w:spacing w:line="360" w:lineRule="auto"/>
              <w:contextualSpacing/>
              <w:jc w:val="center"/>
              <w:rPr>
                <w:rFonts w:ascii="仿宋_GB2312" w:eastAsia="仿宋_GB2312"/>
                <w:szCs w:val="21"/>
              </w:rPr>
            </w:pPr>
            <w:r>
              <w:rPr>
                <w:rFonts w:hint="eastAsia" w:ascii="仿宋_GB2312" w:eastAsia="仿宋_GB2312"/>
                <w:szCs w:val="21"/>
              </w:rPr>
              <w:t>样本大小</w:t>
            </w:r>
          </w:p>
        </w:tc>
        <w:tc>
          <w:tcPr>
            <w:tcW w:w="2744" w:type="dxa"/>
            <w:vAlign w:val="center"/>
          </w:tcPr>
          <w:p>
            <w:pPr>
              <w:spacing w:line="360" w:lineRule="auto"/>
              <w:contextualSpacing/>
              <w:jc w:val="center"/>
              <w:rPr>
                <w:rFonts w:ascii="仿宋_GB2312" w:eastAsia="仿宋_GB2312"/>
                <w:szCs w:val="21"/>
              </w:rPr>
            </w:pPr>
            <w:r>
              <w:rPr>
                <w:rFonts w:hint="eastAsia" w:ascii="仿宋_GB2312" w:eastAsia="仿宋_GB2312"/>
                <w:szCs w:val="21"/>
              </w:rPr>
              <w:t>判定细则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101" w:type="dxa"/>
            <w:vAlign w:val="center"/>
          </w:tcPr>
          <w:p>
            <w:pPr>
              <w:contextualSpacing/>
              <w:jc w:val="center"/>
              <w:rPr>
                <w:rFonts w:ascii="仿宋_GB2312" w:hAnsi="宋体" w:eastAsia="仿宋_GB2312"/>
                <w:szCs w:val="21"/>
              </w:rPr>
            </w:pPr>
            <w:r>
              <w:rPr>
                <w:rFonts w:hint="eastAsia" w:ascii="仿宋_GB2312" w:hAnsi="宋体" w:eastAsia="仿宋_GB2312"/>
                <w:szCs w:val="21"/>
              </w:rPr>
              <w:t>1</w:t>
            </w:r>
          </w:p>
        </w:tc>
        <w:tc>
          <w:tcPr>
            <w:tcW w:w="2409" w:type="dxa"/>
            <w:vAlign w:val="center"/>
          </w:tcPr>
          <w:p>
            <w:pPr>
              <w:contextualSpacing/>
              <w:jc w:val="center"/>
              <w:rPr>
                <w:rFonts w:ascii="仿宋_GB2312" w:hAnsi="宋体" w:eastAsia="仿宋_GB2312"/>
                <w:szCs w:val="21"/>
              </w:rPr>
            </w:pPr>
            <w:r>
              <w:rPr>
                <w:rFonts w:hint="eastAsia" w:ascii="仿宋_GB2312" w:hAnsi="宋体" w:eastAsia="仿宋_GB2312"/>
                <w:szCs w:val="21"/>
              </w:rPr>
              <w:t>颗粒级配</w:t>
            </w:r>
          </w:p>
        </w:tc>
        <w:tc>
          <w:tcPr>
            <w:tcW w:w="2268" w:type="dxa"/>
            <w:vAlign w:val="center"/>
          </w:tcPr>
          <w:p>
            <w:pPr>
              <w:spacing w:line="360" w:lineRule="auto"/>
              <w:contextualSpacing/>
              <w:jc w:val="center"/>
              <w:rPr>
                <w:rFonts w:ascii="仿宋_GB2312" w:eastAsia="仿宋_GB2312"/>
                <w:szCs w:val="21"/>
              </w:rPr>
            </w:pPr>
            <w:r>
              <w:rPr>
                <w:rFonts w:hint="eastAsia" w:ascii="仿宋_GB2312" w:eastAsia="仿宋_GB2312"/>
                <w:szCs w:val="21"/>
              </w:rPr>
              <w:t>4.4kg</w:t>
            </w:r>
          </w:p>
        </w:tc>
        <w:tc>
          <w:tcPr>
            <w:tcW w:w="2744" w:type="dxa"/>
            <w:vAlign w:val="center"/>
          </w:tcPr>
          <w:p>
            <w:pPr>
              <w:spacing w:line="360" w:lineRule="auto"/>
              <w:contextualSpacing/>
              <w:jc w:val="center"/>
              <w:rPr>
                <w:rFonts w:ascii="仿宋_GB2312" w:eastAsia="仿宋_GB2312"/>
                <w:szCs w:val="21"/>
              </w:rPr>
            </w:pPr>
            <w:r>
              <w:rPr>
                <w:rFonts w:hint="eastAsia" w:ascii="仿宋_GB2312" w:eastAsia="仿宋_GB2312"/>
                <w:szCs w:val="21"/>
              </w:rPr>
              <w:t>符合本标准相应类别规定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exact"/>
        </w:trPr>
        <w:tc>
          <w:tcPr>
            <w:tcW w:w="1101" w:type="dxa"/>
            <w:vAlign w:val="center"/>
          </w:tcPr>
          <w:p>
            <w:pPr>
              <w:contextualSpacing/>
              <w:jc w:val="center"/>
              <w:rPr>
                <w:rFonts w:ascii="仿宋_GB2312" w:hAnsi="宋体" w:eastAsia="仿宋_GB2312"/>
                <w:szCs w:val="21"/>
              </w:rPr>
            </w:pPr>
            <w:r>
              <w:rPr>
                <w:rFonts w:hint="eastAsia" w:ascii="仿宋_GB2312" w:hAnsi="宋体" w:eastAsia="仿宋_GB2312"/>
                <w:szCs w:val="21"/>
              </w:rPr>
              <w:t>2</w:t>
            </w:r>
          </w:p>
        </w:tc>
        <w:tc>
          <w:tcPr>
            <w:tcW w:w="2409" w:type="dxa"/>
            <w:vAlign w:val="center"/>
          </w:tcPr>
          <w:p>
            <w:pPr>
              <w:contextualSpacing/>
              <w:jc w:val="center"/>
              <w:rPr>
                <w:rFonts w:ascii="仿宋_GB2312" w:hAnsi="宋体" w:eastAsia="仿宋_GB2312"/>
                <w:szCs w:val="21"/>
              </w:rPr>
            </w:pPr>
            <w:r>
              <w:rPr>
                <w:rFonts w:hint="eastAsia" w:ascii="仿宋_GB2312" w:hAnsi="宋体" w:eastAsia="仿宋_GB2312"/>
                <w:szCs w:val="21"/>
              </w:rPr>
              <w:t>细度模数</w:t>
            </w:r>
          </w:p>
        </w:tc>
        <w:tc>
          <w:tcPr>
            <w:tcW w:w="2268" w:type="dxa"/>
            <w:vAlign w:val="center"/>
          </w:tcPr>
          <w:p>
            <w:pPr>
              <w:spacing w:line="360" w:lineRule="auto"/>
              <w:contextualSpacing/>
              <w:jc w:val="center"/>
              <w:rPr>
                <w:rFonts w:ascii="仿宋_GB2312" w:eastAsia="仿宋_GB2312"/>
                <w:szCs w:val="21"/>
              </w:rPr>
            </w:pPr>
            <w:r>
              <w:rPr>
                <w:rFonts w:hint="eastAsia" w:ascii="仿宋_GB2312" w:eastAsia="仿宋_GB2312"/>
                <w:szCs w:val="21"/>
              </w:rPr>
              <w:t>4.4kg</w:t>
            </w:r>
          </w:p>
        </w:tc>
        <w:tc>
          <w:tcPr>
            <w:tcW w:w="2744" w:type="dxa"/>
            <w:vAlign w:val="center"/>
          </w:tcPr>
          <w:p>
            <w:pPr>
              <w:spacing w:line="360" w:lineRule="auto"/>
              <w:contextualSpacing/>
              <w:jc w:val="center"/>
              <w:rPr>
                <w:rFonts w:ascii="仿宋_GB2312" w:eastAsia="仿宋_GB2312"/>
                <w:b/>
                <w:szCs w:val="21"/>
              </w:rPr>
            </w:pPr>
            <w:r>
              <w:rPr>
                <w:rFonts w:hint="eastAsia" w:ascii="仿宋_GB2312" w:eastAsia="仿宋_GB2312"/>
                <w:szCs w:val="21"/>
              </w:rPr>
              <w:t>符合本标准相应类别规定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101" w:type="dxa"/>
            <w:vAlign w:val="center"/>
          </w:tcPr>
          <w:p>
            <w:pPr>
              <w:contextualSpacing/>
              <w:jc w:val="center"/>
              <w:rPr>
                <w:rFonts w:ascii="仿宋_GB2312" w:hAnsi="宋体" w:eastAsia="仿宋_GB2312"/>
                <w:szCs w:val="21"/>
              </w:rPr>
            </w:pPr>
            <w:r>
              <w:rPr>
                <w:rFonts w:hint="eastAsia" w:ascii="仿宋_GB2312" w:hAnsi="宋体" w:eastAsia="仿宋_GB2312"/>
                <w:szCs w:val="21"/>
              </w:rPr>
              <w:t>3</w:t>
            </w:r>
          </w:p>
        </w:tc>
        <w:tc>
          <w:tcPr>
            <w:tcW w:w="2409" w:type="dxa"/>
            <w:vAlign w:val="center"/>
          </w:tcPr>
          <w:p>
            <w:pPr>
              <w:contextualSpacing/>
              <w:jc w:val="center"/>
              <w:rPr>
                <w:rFonts w:ascii="仿宋_GB2312" w:hAnsi="宋体" w:eastAsia="仿宋_GB2312"/>
                <w:szCs w:val="21"/>
              </w:rPr>
            </w:pPr>
            <w:r>
              <w:rPr>
                <w:rFonts w:hint="eastAsia" w:ascii="仿宋_GB2312" w:hAnsi="宋体" w:eastAsia="仿宋_GB2312"/>
                <w:szCs w:val="21"/>
              </w:rPr>
              <w:t>石粉含量</w:t>
            </w:r>
          </w:p>
        </w:tc>
        <w:tc>
          <w:tcPr>
            <w:tcW w:w="2268" w:type="dxa"/>
            <w:vAlign w:val="center"/>
          </w:tcPr>
          <w:p>
            <w:pPr>
              <w:spacing w:line="360" w:lineRule="auto"/>
              <w:contextualSpacing/>
              <w:jc w:val="center"/>
              <w:rPr>
                <w:rFonts w:ascii="仿宋_GB2312" w:eastAsia="仿宋_GB2312"/>
                <w:szCs w:val="21"/>
              </w:rPr>
            </w:pPr>
            <w:r>
              <w:rPr>
                <w:rFonts w:hint="eastAsia" w:ascii="仿宋_GB2312" w:eastAsia="仿宋_GB2312"/>
                <w:szCs w:val="21"/>
              </w:rPr>
              <w:t>6.0kg</w:t>
            </w:r>
          </w:p>
        </w:tc>
        <w:tc>
          <w:tcPr>
            <w:tcW w:w="2744" w:type="dxa"/>
            <w:vAlign w:val="center"/>
          </w:tcPr>
          <w:p>
            <w:pPr>
              <w:spacing w:line="360" w:lineRule="auto"/>
              <w:contextualSpacing/>
              <w:jc w:val="center"/>
              <w:rPr>
                <w:rFonts w:ascii="仿宋_GB2312" w:eastAsia="仿宋_GB2312"/>
                <w:b/>
                <w:szCs w:val="21"/>
              </w:rPr>
            </w:pPr>
            <w:r>
              <w:rPr>
                <w:rFonts w:hint="eastAsia" w:ascii="仿宋_GB2312" w:eastAsia="仿宋_GB2312"/>
                <w:szCs w:val="21"/>
              </w:rPr>
              <w:t>符合本标准相应类别规定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101" w:type="dxa"/>
            <w:vAlign w:val="center"/>
          </w:tcPr>
          <w:p>
            <w:pPr>
              <w:contextualSpacing/>
              <w:jc w:val="center"/>
              <w:rPr>
                <w:rFonts w:ascii="仿宋_GB2312" w:hAnsi="宋体" w:eastAsia="仿宋_GB2312"/>
                <w:szCs w:val="21"/>
              </w:rPr>
            </w:pPr>
            <w:r>
              <w:rPr>
                <w:rFonts w:hint="eastAsia" w:ascii="仿宋_GB2312" w:hAnsi="宋体" w:eastAsia="仿宋_GB2312"/>
                <w:szCs w:val="21"/>
              </w:rPr>
              <w:t>4</w:t>
            </w:r>
          </w:p>
        </w:tc>
        <w:tc>
          <w:tcPr>
            <w:tcW w:w="2409" w:type="dxa"/>
            <w:vAlign w:val="center"/>
          </w:tcPr>
          <w:p>
            <w:pPr>
              <w:contextualSpacing/>
              <w:jc w:val="center"/>
              <w:rPr>
                <w:rFonts w:ascii="仿宋_GB2312" w:hAnsi="宋体" w:eastAsia="仿宋_GB2312"/>
                <w:szCs w:val="21"/>
              </w:rPr>
            </w:pPr>
            <w:r>
              <w:rPr>
                <w:rFonts w:hint="eastAsia" w:ascii="仿宋_GB2312" w:hAnsi="宋体" w:eastAsia="仿宋_GB2312"/>
                <w:szCs w:val="21"/>
              </w:rPr>
              <w:t>泥块含量</w:t>
            </w:r>
          </w:p>
        </w:tc>
        <w:tc>
          <w:tcPr>
            <w:tcW w:w="2268" w:type="dxa"/>
            <w:vAlign w:val="center"/>
          </w:tcPr>
          <w:p>
            <w:pPr>
              <w:spacing w:line="360" w:lineRule="auto"/>
              <w:contextualSpacing/>
              <w:jc w:val="center"/>
              <w:rPr>
                <w:rFonts w:ascii="仿宋_GB2312" w:eastAsia="仿宋_GB2312"/>
                <w:szCs w:val="21"/>
              </w:rPr>
            </w:pPr>
            <w:r>
              <w:rPr>
                <w:rFonts w:hint="eastAsia" w:ascii="仿宋_GB2312" w:eastAsia="仿宋_GB2312"/>
                <w:szCs w:val="21"/>
              </w:rPr>
              <w:t>20.0kg</w:t>
            </w:r>
          </w:p>
        </w:tc>
        <w:tc>
          <w:tcPr>
            <w:tcW w:w="2744" w:type="dxa"/>
            <w:vAlign w:val="center"/>
          </w:tcPr>
          <w:p>
            <w:pPr>
              <w:spacing w:line="360" w:lineRule="auto"/>
              <w:contextualSpacing/>
              <w:jc w:val="center"/>
              <w:rPr>
                <w:rFonts w:ascii="仿宋_GB2312" w:eastAsia="仿宋_GB2312"/>
                <w:b/>
                <w:szCs w:val="21"/>
              </w:rPr>
            </w:pPr>
            <w:r>
              <w:rPr>
                <w:rFonts w:hint="eastAsia" w:ascii="仿宋_GB2312" w:eastAsia="仿宋_GB2312"/>
                <w:szCs w:val="21"/>
              </w:rPr>
              <w:t>符合本标准相应类别规定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exact"/>
        </w:trPr>
        <w:tc>
          <w:tcPr>
            <w:tcW w:w="1101" w:type="dxa"/>
            <w:vAlign w:val="center"/>
          </w:tcPr>
          <w:p>
            <w:pPr>
              <w:contextualSpacing/>
              <w:jc w:val="center"/>
              <w:rPr>
                <w:rFonts w:hint="eastAsia" w:ascii="仿宋_GB2312" w:hAnsi="宋体" w:eastAsia="仿宋_GB2312"/>
                <w:szCs w:val="21"/>
                <w:lang w:eastAsia="zh-CN"/>
              </w:rPr>
            </w:pPr>
            <w:r>
              <w:rPr>
                <w:rFonts w:hint="eastAsia" w:ascii="仿宋_GB2312" w:hAnsi="宋体" w:eastAsia="仿宋_GB2312"/>
                <w:szCs w:val="21"/>
                <w:lang w:val="en-US" w:eastAsia="zh-CN"/>
              </w:rPr>
              <w:t>5</w:t>
            </w:r>
          </w:p>
        </w:tc>
        <w:tc>
          <w:tcPr>
            <w:tcW w:w="2409" w:type="dxa"/>
            <w:vAlign w:val="center"/>
          </w:tcPr>
          <w:p>
            <w:pPr>
              <w:contextualSpacing/>
              <w:jc w:val="center"/>
              <w:rPr>
                <w:rFonts w:ascii="仿宋_GB2312" w:hAnsi="宋体" w:eastAsia="仿宋_GB2312"/>
                <w:szCs w:val="21"/>
              </w:rPr>
            </w:pPr>
            <w:r>
              <w:rPr>
                <w:rFonts w:hint="eastAsia" w:ascii="仿宋_GB2312" w:hAnsi="宋体" w:eastAsia="仿宋_GB2312"/>
                <w:szCs w:val="21"/>
              </w:rPr>
              <w:t>坚固性（质量损失）</w:t>
            </w:r>
          </w:p>
        </w:tc>
        <w:tc>
          <w:tcPr>
            <w:tcW w:w="2268" w:type="dxa"/>
            <w:vAlign w:val="center"/>
          </w:tcPr>
          <w:p>
            <w:pPr>
              <w:spacing w:line="360" w:lineRule="auto"/>
              <w:contextualSpacing/>
              <w:jc w:val="center"/>
              <w:rPr>
                <w:rFonts w:ascii="仿宋_GB2312" w:eastAsia="仿宋_GB2312"/>
                <w:szCs w:val="21"/>
              </w:rPr>
            </w:pPr>
            <w:r>
              <w:rPr>
                <w:rFonts w:hint="eastAsia" w:ascii="仿宋_GB2312" w:eastAsia="仿宋_GB2312"/>
                <w:szCs w:val="21"/>
              </w:rPr>
              <w:t>20.0kg</w:t>
            </w:r>
          </w:p>
        </w:tc>
        <w:tc>
          <w:tcPr>
            <w:tcW w:w="2744" w:type="dxa"/>
            <w:vAlign w:val="center"/>
          </w:tcPr>
          <w:p>
            <w:pPr>
              <w:spacing w:line="360" w:lineRule="auto"/>
              <w:contextualSpacing/>
              <w:jc w:val="center"/>
              <w:rPr>
                <w:rFonts w:ascii="仿宋_GB2312" w:eastAsia="仿宋_GB2312"/>
                <w:b/>
                <w:szCs w:val="21"/>
              </w:rPr>
            </w:pPr>
            <w:r>
              <w:rPr>
                <w:rFonts w:hint="eastAsia" w:ascii="仿宋_GB2312" w:eastAsia="仿宋_GB2312"/>
                <w:szCs w:val="21"/>
              </w:rPr>
              <w:t>符合本标准相应类别规定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101" w:type="dxa"/>
            <w:vAlign w:val="center"/>
          </w:tcPr>
          <w:p>
            <w:pPr>
              <w:contextualSpacing/>
              <w:jc w:val="center"/>
              <w:rPr>
                <w:rFonts w:hint="eastAsia" w:ascii="仿宋_GB2312" w:hAnsi="宋体" w:eastAsia="仿宋_GB2312"/>
                <w:szCs w:val="21"/>
                <w:lang w:eastAsia="zh-CN"/>
              </w:rPr>
            </w:pPr>
            <w:r>
              <w:rPr>
                <w:rFonts w:hint="eastAsia" w:ascii="仿宋_GB2312" w:hAnsi="宋体" w:eastAsia="仿宋_GB2312"/>
                <w:szCs w:val="21"/>
                <w:lang w:val="en-US" w:eastAsia="zh-CN"/>
              </w:rPr>
              <w:t>6</w:t>
            </w:r>
          </w:p>
        </w:tc>
        <w:tc>
          <w:tcPr>
            <w:tcW w:w="2409" w:type="dxa"/>
            <w:vAlign w:val="center"/>
          </w:tcPr>
          <w:p>
            <w:pPr>
              <w:keepLines/>
              <w:suppressLineNumbers/>
              <w:suppressAutoHyphens/>
              <w:spacing w:line="300" w:lineRule="exact"/>
              <w:jc w:val="center"/>
              <w:rPr>
                <w:rFonts w:ascii="仿宋_GB2312" w:hAnsi="宋体" w:eastAsia="仿宋_GB2312"/>
                <w:szCs w:val="21"/>
              </w:rPr>
            </w:pPr>
            <w:r>
              <w:rPr>
                <w:rFonts w:hint="eastAsia" w:ascii="仿宋_GB2312" w:hAnsi="宋体" w:eastAsia="仿宋_GB2312"/>
                <w:szCs w:val="21"/>
              </w:rPr>
              <w:t>压碎指标</w:t>
            </w:r>
          </w:p>
        </w:tc>
        <w:tc>
          <w:tcPr>
            <w:tcW w:w="2268" w:type="dxa"/>
            <w:vAlign w:val="center"/>
          </w:tcPr>
          <w:p>
            <w:pPr>
              <w:spacing w:line="360" w:lineRule="auto"/>
              <w:contextualSpacing/>
              <w:jc w:val="center"/>
              <w:rPr>
                <w:rFonts w:ascii="仿宋_GB2312" w:eastAsia="仿宋_GB2312"/>
                <w:szCs w:val="21"/>
              </w:rPr>
            </w:pPr>
            <w:r>
              <w:rPr>
                <w:rFonts w:hint="eastAsia" w:ascii="仿宋_GB2312" w:eastAsia="仿宋_GB2312"/>
                <w:szCs w:val="21"/>
              </w:rPr>
              <w:t>20.0kg</w:t>
            </w:r>
          </w:p>
        </w:tc>
        <w:tc>
          <w:tcPr>
            <w:tcW w:w="2744" w:type="dxa"/>
            <w:vAlign w:val="center"/>
          </w:tcPr>
          <w:p>
            <w:pPr>
              <w:spacing w:line="360" w:lineRule="auto"/>
              <w:contextualSpacing/>
              <w:jc w:val="center"/>
              <w:rPr>
                <w:rFonts w:ascii="仿宋_GB2312" w:eastAsia="仿宋_GB2312"/>
                <w:b/>
                <w:szCs w:val="21"/>
              </w:rPr>
            </w:pPr>
            <w:r>
              <w:rPr>
                <w:rFonts w:hint="eastAsia" w:ascii="仿宋_GB2312" w:eastAsia="仿宋_GB2312"/>
                <w:szCs w:val="21"/>
              </w:rPr>
              <w:t>符合本标准相应类别规定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101" w:type="dxa"/>
            <w:vAlign w:val="center"/>
          </w:tcPr>
          <w:p>
            <w:pPr>
              <w:contextualSpacing/>
              <w:jc w:val="center"/>
              <w:rPr>
                <w:rFonts w:hint="eastAsia" w:ascii="仿宋_GB2312" w:hAnsi="宋体" w:eastAsia="仿宋_GB2312"/>
                <w:szCs w:val="21"/>
                <w:lang w:eastAsia="zh-CN"/>
              </w:rPr>
            </w:pPr>
            <w:r>
              <w:rPr>
                <w:rFonts w:hint="eastAsia" w:ascii="仿宋_GB2312" w:hAnsi="宋体" w:eastAsia="仿宋_GB2312"/>
                <w:szCs w:val="21"/>
                <w:lang w:val="en-US" w:eastAsia="zh-CN"/>
              </w:rPr>
              <w:t>7</w:t>
            </w:r>
          </w:p>
        </w:tc>
        <w:tc>
          <w:tcPr>
            <w:tcW w:w="2409" w:type="dxa"/>
            <w:vAlign w:val="center"/>
          </w:tcPr>
          <w:p>
            <w:pPr>
              <w:keepLines/>
              <w:suppressLineNumbers/>
              <w:suppressAutoHyphens/>
              <w:spacing w:line="300" w:lineRule="exact"/>
              <w:jc w:val="center"/>
              <w:rPr>
                <w:rFonts w:ascii="仿宋_GB2312" w:hAnsi="宋体" w:eastAsia="仿宋_GB2312"/>
                <w:szCs w:val="21"/>
              </w:rPr>
            </w:pPr>
            <w:r>
              <w:rPr>
                <w:rFonts w:hint="eastAsia" w:ascii="仿宋_GB2312" w:hAnsi="宋体" w:eastAsia="仿宋_GB2312"/>
                <w:szCs w:val="21"/>
              </w:rPr>
              <w:t>表观密度</w:t>
            </w:r>
          </w:p>
        </w:tc>
        <w:tc>
          <w:tcPr>
            <w:tcW w:w="2268" w:type="dxa"/>
            <w:vAlign w:val="center"/>
          </w:tcPr>
          <w:p>
            <w:pPr>
              <w:spacing w:line="360" w:lineRule="auto"/>
              <w:contextualSpacing/>
              <w:jc w:val="center"/>
              <w:rPr>
                <w:rFonts w:ascii="仿宋_GB2312" w:eastAsia="仿宋_GB2312"/>
                <w:szCs w:val="21"/>
              </w:rPr>
            </w:pPr>
            <w:r>
              <w:rPr>
                <w:rFonts w:hint="eastAsia" w:ascii="仿宋_GB2312" w:eastAsia="仿宋_GB2312"/>
                <w:szCs w:val="21"/>
              </w:rPr>
              <w:t>2.6kg</w:t>
            </w:r>
          </w:p>
        </w:tc>
        <w:tc>
          <w:tcPr>
            <w:tcW w:w="2744" w:type="dxa"/>
            <w:vAlign w:val="center"/>
          </w:tcPr>
          <w:p>
            <w:pPr>
              <w:spacing w:line="360" w:lineRule="auto"/>
              <w:contextualSpacing/>
              <w:jc w:val="center"/>
              <w:rPr>
                <w:rFonts w:ascii="仿宋_GB2312" w:eastAsia="仿宋_GB2312"/>
                <w:b/>
                <w:szCs w:val="21"/>
              </w:rPr>
            </w:pPr>
            <w:r>
              <w:rPr>
                <w:rFonts w:hint="eastAsia" w:ascii="仿宋_GB2312" w:eastAsia="仿宋_GB2312"/>
                <w:szCs w:val="21"/>
              </w:rPr>
              <w:t>符合本标准相应类别规定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101" w:type="dxa"/>
            <w:vAlign w:val="center"/>
          </w:tcPr>
          <w:p>
            <w:pPr>
              <w:contextualSpacing/>
              <w:jc w:val="center"/>
              <w:rPr>
                <w:rFonts w:hint="eastAsia" w:ascii="仿宋_GB2312" w:hAnsi="宋体" w:eastAsia="仿宋_GB2312"/>
                <w:szCs w:val="21"/>
                <w:lang w:eastAsia="zh-CN"/>
              </w:rPr>
            </w:pPr>
            <w:r>
              <w:rPr>
                <w:rFonts w:hint="eastAsia" w:ascii="仿宋_GB2312" w:hAnsi="宋体" w:eastAsia="仿宋_GB2312"/>
                <w:szCs w:val="21"/>
                <w:lang w:val="en-US" w:eastAsia="zh-CN"/>
              </w:rPr>
              <w:t>8</w:t>
            </w:r>
          </w:p>
        </w:tc>
        <w:tc>
          <w:tcPr>
            <w:tcW w:w="2409" w:type="dxa"/>
            <w:vAlign w:val="center"/>
          </w:tcPr>
          <w:p>
            <w:pPr>
              <w:contextualSpacing/>
              <w:jc w:val="center"/>
              <w:rPr>
                <w:rFonts w:ascii="仿宋_GB2312" w:hAnsi="宋体" w:eastAsia="仿宋_GB2312"/>
                <w:szCs w:val="21"/>
              </w:rPr>
            </w:pPr>
            <w:r>
              <w:rPr>
                <w:rFonts w:hint="eastAsia" w:ascii="仿宋_GB2312" w:hAnsi="宋体" w:eastAsia="仿宋_GB2312"/>
                <w:szCs w:val="21"/>
              </w:rPr>
              <w:t>放射性</w:t>
            </w:r>
          </w:p>
        </w:tc>
        <w:tc>
          <w:tcPr>
            <w:tcW w:w="2268" w:type="dxa"/>
            <w:vAlign w:val="center"/>
          </w:tcPr>
          <w:p>
            <w:pPr>
              <w:spacing w:line="360" w:lineRule="auto"/>
              <w:contextualSpacing/>
              <w:jc w:val="center"/>
              <w:rPr>
                <w:rFonts w:ascii="仿宋_GB2312" w:eastAsia="仿宋_GB2312"/>
                <w:szCs w:val="21"/>
              </w:rPr>
            </w:pPr>
            <w:r>
              <w:rPr>
                <w:rFonts w:hint="eastAsia" w:ascii="仿宋_GB2312" w:eastAsia="仿宋_GB2312"/>
                <w:szCs w:val="21"/>
              </w:rPr>
              <w:t>6.0kg</w:t>
            </w:r>
          </w:p>
        </w:tc>
        <w:tc>
          <w:tcPr>
            <w:tcW w:w="2744" w:type="dxa"/>
            <w:vAlign w:val="center"/>
          </w:tcPr>
          <w:p>
            <w:pPr>
              <w:spacing w:line="360" w:lineRule="auto"/>
              <w:contextualSpacing/>
              <w:jc w:val="center"/>
              <w:rPr>
                <w:rFonts w:ascii="仿宋_GB2312" w:eastAsia="仿宋_GB2312"/>
                <w:b/>
                <w:szCs w:val="21"/>
              </w:rPr>
            </w:pPr>
            <w:r>
              <w:rPr>
                <w:rFonts w:hint="eastAsia" w:ascii="仿宋_GB2312" w:eastAsia="仿宋_GB2312"/>
                <w:szCs w:val="21"/>
              </w:rPr>
              <w:t>符合本标准相应类别规定</w:t>
            </w:r>
          </w:p>
        </w:tc>
      </w:tr>
    </w:tbl>
    <w:p>
      <w:pPr>
        <w:adjustRightInd w:val="0"/>
        <w:snapToGrid w:val="0"/>
        <w:spacing w:line="360" w:lineRule="auto"/>
        <w:ind w:firstLine="560" w:firstLineChars="200"/>
        <w:rPr>
          <w:rFonts w:ascii="仿宋_GB2312" w:eastAsia="仿宋_GB2312"/>
          <w:sz w:val="28"/>
          <w:szCs w:val="28"/>
        </w:rPr>
      </w:pPr>
      <w:r>
        <w:rPr>
          <w:rFonts w:hint="eastAsia" w:ascii="仿宋_GB2312" w:eastAsia="仿宋_GB2312"/>
          <w:sz w:val="28"/>
          <w:szCs w:val="28"/>
        </w:rPr>
        <w:t>7.2综合判定</w:t>
      </w:r>
    </w:p>
    <w:p>
      <w:pPr>
        <w:adjustRightInd w:val="0"/>
        <w:snapToGrid w:val="0"/>
        <w:spacing w:line="360" w:lineRule="auto"/>
        <w:ind w:firstLine="560" w:firstLineChars="200"/>
        <w:rPr>
          <w:rFonts w:ascii="仿宋_GB2312" w:eastAsia="仿宋_GB2312"/>
          <w:sz w:val="28"/>
          <w:szCs w:val="28"/>
        </w:rPr>
      </w:pPr>
      <w:r>
        <w:rPr>
          <w:rFonts w:hint="eastAsia" w:ascii="仿宋_GB2312" w:eastAsia="仿宋_GB2312"/>
          <w:sz w:val="28"/>
          <w:szCs w:val="28"/>
        </w:rPr>
        <w:t>经检验,检验项目全部合格,判定为被抽查产品合格;检验项目中任一项或一项以上不合格,判定为被抽查产品不合格。</w:t>
      </w:r>
    </w:p>
    <w:p>
      <w:pPr>
        <w:adjustRightInd w:val="0"/>
        <w:snapToGrid w:val="0"/>
        <w:spacing w:line="360" w:lineRule="auto"/>
        <w:ind w:firstLine="560" w:firstLineChars="200"/>
        <w:rPr>
          <w:rFonts w:ascii="仿宋_GB2312" w:eastAsia="仿宋_GB2312"/>
          <w:sz w:val="28"/>
          <w:szCs w:val="28"/>
        </w:rPr>
      </w:pPr>
      <w:r>
        <w:rPr>
          <w:rFonts w:hint="eastAsia" w:ascii="仿宋_GB2312" w:eastAsia="仿宋_GB2312"/>
          <w:sz w:val="28"/>
          <w:szCs w:val="28"/>
        </w:rPr>
        <w:t>7.3</w:t>
      </w:r>
      <w:r>
        <w:rPr>
          <w:rFonts w:ascii="仿宋_GB2312" w:eastAsia="仿宋_GB2312"/>
          <w:sz w:val="28"/>
          <w:szCs w:val="28"/>
        </w:rPr>
        <w:t>结论用语</w:t>
      </w:r>
    </w:p>
    <w:p>
      <w:pPr>
        <w:adjustRightInd w:val="0"/>
        <w:snapToGrid w:val="0"/>
        <w:spacing w:line="360" w:lineRule="auto"/>
        <w:ind w:firstLine="560" w:firstLineChars="200"/>
        <w:rPr>
          <w:rFonts w:ascii="仿宋_GB2312" w:eastAsia="仿宋_GB2312"/>
          <w:sz w:val="28"/>
          <w:szCs w:val="28"/>
        </w:rPr>
      </w:pPr>
      <w:r>
        <w:rPr>
          <w:rFonts w:hint="eastAsia" w:ascii="仿宋_GB2312" w:eastAsia="仿宋_GB2312"/>
          <w:sz w:val="28"/>
          <w:szCs w:val="28"/>
        </w:rPr>
        <w:t>经抽样检验，所检项目符合**标准要求，依据《</w:t>
      </w:r>
      <w:r>
        <w:rPr>
          <w:rFonts w:hint="eastAsia" w:ascii="仿宋_GB2312" w:eastAsia="仿宋_GB2312"/>
          <w:sz w:val="28"/>
          <w:szCs w:val="28"/>
          <w:lang w:eastAsia="zh-CN"/>
        </w:rPr>
        <w:t>朝阳市</w:t>
      </w:r>
      <w:r>
        <w:rPr>
          <w:rFonts w:hint="eastAsia" w:ascii="仿宋_GB2312" w:eastAsia="仿宋_GB2312"/>
          <w:sz w:val="28"/>
          <w:szCs w:val="28"/>
          <w:lang w:val="en-US" w:eastAsia="zh-CN"/>
        </w:rPr>
        <w:t>2020年</w:t>
      </w:r>
      <w:r>
        <w:rPr>
          <w:rFonts w:hint="eastAsia" w:ascii="仿宋_GB2312" w:eastAsia="仿宋_GB2312"/>
          <w:sz w:val="28"/>
          <w:szCs w:val="28"/>
        </w:rPr>
        <w:t>机制砂产品质量监督抽查实施细则》，判定为合格。</w:t>
      </w:r>
    </w:p>
    <w:p>
      <w:pPr>
        <w:adjustRightInd w:val="0"/>
        <w:snapToGrid w:val="0"/>
        <w:spacing w:line="360" w:lineRule="auto"/>
        <w:ind w:firstLine="560" w:firstLineChars="200"/>
        <w:rPr>
          <w:rFonts w:ascii="仿宋_GB2312" w:eastAsia="仿宋_GB2312"/>
          <w:sz w:val="28"/>
          <w:szCs w:val="28"/>
        </w:rPr>
      </w:pPr>
      <w:r>
        <w:rPr>
          <w:rFonts w:hint="eastAsia" w:ascii="仿宋_GB2312" w:eastAsia="仿宋_GB2312"/>
          <w:sz w:val="28"/>
          <w:szCs w:val="28"/>
        </w:rPr>
        <w:t>经抽样检验，**项目不符合**标准要求，依据《</w:t>
      </w:r>
      <w:r>
        <w:rPr>
          <w:rFonts w:hint="eastAsia" w:ascii="仿宋_GB2312" w:eastAsia="仿宋_GB2312"/>
          <w:sz w:val="28"/>
          <w:szCs w:val="28"/>
          <w:lang w:eastAsia="zh-CN"/>
        </w:rPr>
        <w:t>朝阳市</w:t>
      </w:r>
      <w:r>
        <w:rPr>
          <w:rFonts w:hint="eastAsia" w:ascii="仿宋_GB2312" w:eastAsia="仿宋_GB2312"/>
          <w:sz w:val="28"/>
          <w:szCs w:val="28"/>
          <w:lang w:val="en-US" w:eastAsia="zh-CN"/>
        </w:rPr>
        <w:t>2020年</w:t>
      </w:r>
      <w:r>
        <w:rPr>
          <w:rFonts w:hint="eastAsia" w:ascii="仿宋_GB2312" w:eastAsia="仿宋_GB2312"/>
          <w:sz w:val="28"/>
          <w:szCs w:val="28"/>
        </w:rPr>
        <w:t>机制砂产品质量监督抽查实施细则》，判定为不合格。</w:t>
      </w:r>
    </w:p>
    <w:p>
      <w:pPr>
        <w:adjustRightInd w:val="0"/>
        <w:snapToGrid w:val="0"/>
        <w:spacing w:line="360" w:lineRule="auto"/>
        <w:ind w:firstLine="562" w:firstLineChars="200"/>
        <w:rPr>
          <w:rFonts w:ascii="仿宋_GB2312" w:eastAsia="仿宋_GB2312"/>
          <w:b/>
          <w:sz w:val="28"/>
          <w:szCs w:val="28"/>
        </w:rPr>
      </w:pPr>
      <w:r>
        <w:rPr>
          <w:rFonts w:hint="eastAsia" w:ascii="仿宋_GB2312" w:eastAsia="仿宋_GB2312"/>
          <w:b/>
          <w:sz w:val="28"/>
          <w:szCs w:val="28"/>
        </w:rPr>
        <w:t>8异议处理</w:t>
      </w:r>
    </w:p>
    <w:p>
      <w:pPr>
        <w:adjustRightInd w:val="0"/>
        <w:snapToGrid w:val="0"/>
        <w:spacing w:line="360" w:lineRule="auto"/>
        <w:ind w:firstLine="560" w:firstLineChars="200"/>
        <w:rPr>
          <w:rFonts w:ascii="仿宋_GB2312" w:eastAsia="仿宋_GB2312"/>
          <w:sz w:val="28"/>
          <w:szCs w:val="28"/>
        </w:rPr>
      </w:pPr>
      <w:r>
        <w:rPr>
          <w:rFonts w:hint="eastAsia" w:ascii="仿宋_GB2312" w:eastAsia="仿宋_GB2312"/>
          <w:sz w:val="28"/>
          <w:szCs w:val="28"/>
        </w:rPr>
        <w:t>对被判定为不合格企业进行异议处理时，按以下方式进行：</w:t>
      </w:r>
    </w:p>
    <w:p>
      <w:pPr>
        <w:adjustRightInd w:val="0"/>
        <w:snapToGrid w:val="0"/>
        <w:spacing w:line="360" w:lineRule="auto"/>
        <w:ind w:firstLine="560" w:firstLineChars="200"/>
        <w:rPr>
          <w:rFonts w:ascii="仿宋_GB2312" w:eastAsia="仿宋_GB2312"/>
          <w:sz w:val="28"/>
          <w:szCs w:val="28"/>
        </w:rPr>
      </w:pPr>
      <w:r>
        <w:rPr>
          <w:rFonts w:hint="eastAsia" w:ascii="仿宋_GB2312" w:eastAsia="仿宋_GB2312"/>
          <w:sz w:val="28"/>
          <w:szCs w:val="28"/>
        </w:rPr>
        <w:t>8.1核查不合格项目相关证据，能够以记录（纸质记录或电子记录或影像记录）或与不合格项目相关联的其它质量数据等检验证据证明。</w:t>
      </w:r>
    </w:p>
    <w:p>
      <w:pPr>
        <w:adjustRightInd w:val="0"/>
        <w:snapToGrid w:val="0"/>
        <w:spacing w:line="360" w:lineRule="auto"/>
        <w:ind w:firstLine="560" w:firstLineChars="200"/>
        <w:rPr>
          <w:rFonts w:ascii="仿宋_GB2312" w:eastAsia="仿宋_GB2312"/>
          <w:sz w:val="28"/>
          <w:szCs w:val="28"/>
        </w:rPr>
      </w:pPr>
      <w:r>
        <w:rPr>
          <w:rFonts w:hint="eastAsia" w:ascii="仿宋_GB2312" w:eastAsia="仿宋_GB2312"/>
          <w:sz w:val="28"/>
          <w:szCs w:val="28"/>
        </w:rPr>
        <w:t>8.2对需要复检并具备检验条件的，处理企业异议的市场监督管理部门或者指定检验机构应当按原监督抽查实施细则对留存的样品或抽取的备用样品组织复检，复检项目如有仲裁法需用仲裁法进行复检，并出具检验报告。复检结论为最终结论。</w:t>
      </w:r>
    </w:p>
    <w:p>
      <w:pPr>
        <w:adjustRightInd w:val="0"/>
        <w:snapToGrid w:val="0"/>
        <w:spacing w:line="360" w:lineRule="auto"/>
        <w:ind w:firstLine="562" w:firstLineChars="200"/>
        <w:rPr>
          <w:rFonts w:ascii="仿宋_GB2312" w:eastAsia="仿宋_GB2312"/>
          <w:b/>
          <w:sz w:val="28"/>
          <w:szCs w:val="28"/>
        </w:rPr>
      </w:pPr>
      <w:r>
        <w:rPr>
          <w:rFonts w:hint="eastAsia" w:ascii="仿宋_GB2312" w:eastAsia="仿宋_GB2312"/>
          <w:b/>
          <w:sz w:val="28"/>
          <w:szCs w:val="28"/>
        </w:rPr>
        <w:t>9附则</w:t>
      </w:r>
    </w:p>
    <w:p>
      <w:pPr>
        <w:adjustRightInd w:val="0"/>
        <w:snapToGrid w:val="0"/>
        <w:spacing w:line="360" w:lineRule="auto"/>
        <w:ind w:firstLine="560" w:firstLineChars="200"/>
        <w:rPr>
          <w:rFonts w:hint="eastAsia" w:ascii="仿宋_GB2312" w:eastAsia="仿宋_GB2312"/>
          <w:sz w:val="28"/>
          <w:szCs w:val="28"/>
          <w:lang w:eastAsia="zh-CN"/>
        </w:rPr>
      </w:pPr>
      <w:r>
        <w:rPr>
          <w:rFonts w:hint="eastAsia" w:ascii="仿宋_GB2312" w:eastAsia="仿宋_GB2312"/>
          <w:sz w:val="28"/>
          <w:szCs w:val="28"/>
        </w:rPr>
        <w:t>本细则编写单位:</w:t>
      </w:r>
      <w:r>
        <w:rPr>
          <w:rFonts w:hint="eastAsia" w:ascii="仿宋_GB2312" w:eastAsia="仿宋_GB2312"/>
          <w:sz w:val="28"/>
          <w:szCs w:val="28"/>
          <w:lang w:eastAsia="zh-CN"/>
        </w:rPr>
        <w:t>大连</w:t>
      </w:r>
      <w:r>
        <w:rPr>
          <w:rFonts w:hint="eastAsia" w:ascii="仿宋_GB2312" w:eastAsia="仿宋_GB2312"/>
          <w:sz w:val="28"/>
          <w:szCs w:val="28"/>
        </w:rPr>
        <w:t>产品质量检验</w:t>
      </w:r>
      <w:r>
        <w:rPr>
          <w:rFonts w:hint="eastAsia" w:ascii="仿宋_GB2312" w:eastAsia="仿宋_GB2312"/>
          <w:sz w:val="28"/>
          <w:szCs w:val="28"/>
          <w:lang w:eastAsia="zh-CN"/>
        </w:rPr>
        <w:t>检测研究</w:t>
      </w:r>
      <w:r>
        <w:rPr>
          <w:rFonts w:hint="eastAsia" w:ascii="仿宋_GB2312" w:eastAsia="仿宋_GB2312"/>
          <w:sz w:val="28"/>
          <w:szCs w:val="28"/>
        </w:rPr>
        <w:t>院</w:t>
      </w:r>
      <w:r>
        <w:rPr>
          <w:rFonts w:hint="eastAsia" w:ascii="仿宋_GB2312" w:eastAsia="仿宋_GB2312"/>
          <w:sz w:val="28"/>
          <w:szCs w:val="28"/>
          <w:lang w:eastAsia="zh-CN"/>
        </w:rPr>
        <w:t>有限公司</w:t>
      </w:r>
    </w:p>
    <w:p>
      <w:pPr>
        <w:adjustRightInd w:val="0"/>
        <w:snapToGrid w:val="0"/>
        <w:spacing w:line="360" w:lineRule="auto"/>
        <w:ind w:firstLine="560" w:firstLineChars="200"/>
        <w:rPr>
          <w:rFonts w:ascii="仿宋_GB2312" w:eastAsia="仿宋_GB2312"/>
          <w:sz w:val="28"/>
          <w:szCs w:val="28"/>
        </w:rPr>
      </w:pPr>
      <w:r>
        <w:rPr>
          <w:rFonts w:hint="eastAsia" w:ascii="仿宋_GB2312" w:eastAsia="仿宋_GB2312"/>
          <w:sz w:val="28"/>
          <w:szCs w:val="28"/>
        </w:rPr>
        <w:t>本细则由</w:t>
      </w:r>
      <w:r>
        <w:rPr>
          <w:rFonts w:hint="eastAsia" w:ascii="仿宋_GB2312" w:eastAsia="仿宋_GB2312"/>
          <w:sz w:val="28"/>
          <w:szCs w:val="28"/>
          <w:lang w:eastAsia="zh-CN"/>
        </w:rPr>
        <w:t>朝阳市</w:t>
      </w:r>
      <w:r>
        <w:rPr>
          <w:rFonts w:hint="eastAsia" w:ascii="仿宋_GB2312" w:eastAsia="仿宋_GB2312"/>
          <w:sz w:val="28"/>
          <w:szCs w:val="28"/>
        </w:rPr>
        <w:t>市场监督管理局管理。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汉鼎简书宋二">
    <w:altName w:val="宋体"/>
    <w:panose1 w:val="00000000000000000000"/>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2"/>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679"/>
    <w:rsid w:val="000275CB"/>
    <w:rsid w:val="00035BD9"/>
    <w:rsid w:val="0005008D"/>
    <w:rsid w:val="00053EFC"/>
    <w:rsid w:val="000623B5"/>
    <w:rsid w:val="00067133"/>
    <w:rsid w:val="000675C9"/>
    <w:rsid w:val="000A7648"/>
    <w:rsid w:val="000C0E04"/>
    <w:rsid w:val="000C40CF"/>
    <w:rsid w:val="000D5961"/>
    <w:rsid w:val="000D7516"/>
    <w:rsid w:val="000E4826"/>
    <w:rsid w:val="000E6F4A"/>
    <w:rsid w:val="000F79E9"/>
    <w:rsid w:val="0010068D"/>
    <w:rsid w:val="00110E1C"/>
    <w:rsid w:val="001300B3"/>
    <w:rsid w:val="00130529"/>
    <w:rsid w:val="00173041"/>
    <w:rsid w:val="00196186"/>
    <w:rsid w:val="001A33E8"/>
    <w:rsid w:val="001A41CD"/>
    <w:rsid w:val="001B6E21"/>
    <w:rsid w:val="001C3D3A"/>
    <w:rsid w:val="001C3E50"/>
    <w:rsid w:val="001C6932"/>
    <w:rsid w:val="001D4CF7"/>
    <w:rsid w:val="001E1282"/>
    <w:rsid w:val="001F0B91"/>
    <w:rsid w:val="001F445B"/>
    <w:rsid w:val="001F4AE7"/>
    <w:rsid w:val="002052EC"/>
    <w:rsid w:val="00231BD3"/>
    <w:rsid w:val="0023743B"/>
    <w:rsid w:val="00253E4C"/>
    <w:rsid w:val="00257606"/>
    <w:rsid w:val="00274761"/>
    <w:rsid w:val="00291754"/>
    <w:rsid w:val="002A252A"/>
    <w:rsid w:val="002B49FB"/>
    <w:rsid w:val="002B783E"/>
    <w:rsid w:val="002C3BAF"/>
    <w:rsid w:val="002D7818"/>
    <w:rsid w:val="002E15AE"/>
    <w:rsid w:val="002E70FD"/>
    <w:rsid w:val="002F564E"/>
    <w:rsid w:val="003076DF"/>
    <w:rsid w:val="00341A24"/>
    <w:rsid w:val="00352644"/>
    <w:rsid w:val="00362052"/>
    <w:rsid w:val="00373FB4"/>
    <w:rsid w:val="003740CB"/>
    <w:rsid w:val="003752E1"/>
    <w:rsid w:val="0037771F"/>
    <w:rsid w:val="003812B8"/>
    <w:rsid w:val="00387151"/>
    <w:rsid w:val="003901CA"/>
    <w:rsid w:val="00396E4A"/>
    <w:rsid w:val="00397AD9"/>
    <w:rsid w:val="003A773D"/>
    <w:rsid w:val="003A7780"/>
    <w:rsid w:val="00413A29"/>
    <w:rsid w:val="0041721D"/>
    <w:rsid w:val="00435B96"/>
    <w:rsid w:val="00442FDD"/>
    <w:rsid w:val="00452D50"/>
    <w:rsid w:val="004559EB"/>
    <w:rsid w:val="00467599"/>
    <w:rsid w:val="00467FC0"/>
    <w:rsid w:val="0048725B"/>
    <w:rsid w:val="004913C8"/>
    <w:rsid w:val="004C3517"/>
    <w:rsid w:val="004D363B"/>
    <w:rsid w:val="004E0A2B"/>
    <w:rsid w:val="004E6909"/>
    <w:rsid w:val="00500AA7"/>
    <w:rsid w:val="005017AC"/>
    <w:rsid w:val="00505435"/>
    <w:rsid w:val="00510793"/>
    <w:rsid w:val="00517D56"/>
    <w:rsid w:val="00522D22"/>
    <w:rsid w:val="005610FF"/>
    <w:rsid w:val="00561759"/>
    <w:rsid w:val="005850AF"/>
    <w:rsid w:val="00591CFA"/>
    <w:rsid w:val="005A6653"/>
    <w:rsid w:val="005B36DD"/>
    <w:rsid w:val="005B72A4"/>
    <w:rsid w:val="005C75A4"/>
    <w:rsid w:val="005D21DE"/>
    <w:rsid w:val="005D3495"/>
    <w:rsid w:val="00601AE5"/>
    <w:rsid w:val="00602785"/>
    <w:rsid w:val="00602822"/>
    <w:rsid w:val="006109C5"/>
    <w:rsid w:val="00617FD2"/>
    <w:rsid w:val="00642116"/>
    <w:rsid w:val="006627F7"/>
    <w:rsid w:val="00676455"/>
    <w:rsid w:val="00694E7B"/>
    <w:rsid w:val="006B37B1"/>
    <w:rsid w:val="006C2F8A"/>
    <w:rsid w:val="006D44E0"/>
    <w:rsid w:val="006D67D2"/>
    <w:rsid w:val="006E49E5"/>
    <w:rsid w:val="007024A4"/>
    <w:rsid w:val="0071325A"/>
    <w:rsid w:val="00725A28"/>
    <w:rsid w:val="00732D48"/>
    <w:rsid w:val="007367FA"/>
    <w:rsid w:val="007425B8"/>
    <w:rsid w:val="007920FB"/>
    <w:rsid w:val="007C09B6"/>
    <w:rsid w:val="007D5970"/>
    <w:rsid w:val="00800E98"/>
    <w:rsid w:val="0083253B"/>
    <w:rsid w:val="008561AC"/>
    <w:rsid w:val="008741C9"/>
    <w:rsid w:val="008835A5"/>
    <w:rsid w:val="00891811"/>
    <w:rsid w:val="008B29A9"/>
    <w:rsid w:val="008C6985"/>
    <w:rsid w:val="008D45D3"/>
    <w:rsid w:val="008E3FA9"/>
    <w:rsid w:val="008F7A97"/>
    <w:rsid w:val="00907571"/>
    <w:rsid w:val="00935488"/>
    <w:rsid w:val="009741E2"/>
    <w:rsid w:val="00982937"/>
    <w:rsid w:val="00983FDB"/>
    <w:rsid w:val="00985542"/>
    <w:rsid w:val="009858BD"/>
    <w:rsid w:val="009A661A"/>
    <w:rsid w:val="009A7710"/>
    <w:rsid w:val="009B43FE"/>
    <w:rsid w:val="009B65CD"/>
    <w:rsid w:val="009C070A"/>
    <w:rsid w:val="009D045B"/>
    <w:rsid w:val="009D4E50"/>
    <w:rsid w:val="00A2703D"/>
    <w:rsid w:val="00A66407"/>
    <w:rsid w:val="00A74EBC"/>
    <w:rsid w:val="00A77D3B"/>
    <w:rsid w:val="00A80507"/>
    <w:rsid w:val="00A901BF"/>
    <w:rsid w:val="00A931F1"/>
    <w:rsid w:val="00AA1224"/>
    <w:rsid w:val="00AD41AD"/>
    <w:rsid w:val="00AE3359"/>
    <w:rsid w:val="00AE7967"/>
    <w:rsid w:val="00B03A40"/>
    <w:rsid w:val="00B043A5"/>
    <w:rsid w:val="00B20DCF"/>
    <w:rsid w:val="00B32679"/>
    <w:rsid w:val="00B40B39"/>
    <w:rsid w:val="00B57999"/>
    <w:rsid w:val="00B70C44"/>
    <w:rsid w:val="00B813C6"/>
    <w:rsid w:val="00B864DB"/>
    <w:rsid w:val="00BB3727"/>
    <w:rsid w:val="00BC5EBE"/>
    <w:rsid w:val="00BC7200"/>
    <w:rsid w:val="00BF2451"/>
    <w:rsid w:val="00BF34B5"/>
    <w:rsid w:val="00C00962"/>
    <w:rsid w:val="00C023B0"/>
    <w:rsid w:val="00C12F70"/>
    <w:rsid w:val="00C20748"/>
    <w:rsid w:val="00C46757"/>
    <w:rsid w:val="00C46F44"/>
    <w:rsid w:val="00C65730"/>
    <w:rsid w:val="00C73A76"/>
    <w:rsid w:val="00C80094"/>
    <w:rsid w:val="00C97B14"/>
    <w:rsid w:val="00CB00AD"/>
    <w:rsid w:val="00CB71B5"/>
    <w:rsid w:val="00CE6C9D"/>
    <w:rsid w:val="00CF0937"/>
    <w:rsid w:val="00D116EC"/>
    <w:rsid w:val="00D21591"/>
    <w:rsid w:val="00D4168A"/>
    <w:rsid w:val="00D430D9"/>
    <w:rsid w:val="00D5256A"/>
    <w:rsid w:val="00D5315E"/>
    <w:rsid w:val="00D67F81"/>
    <w:rsid w:val="00D71625"/>
    <w:rsid w:val="00D81AC6"/>
    <w:rsid w:val="00DA759A"/>
    <w:rsid w:val="00DB17A3"/>
    <w:rsid w:val="00DE75DC"/>
    <w:rsid w:val="00E0683A"/>
    <w:rsid w:val="00E15C3C"/>
    <w:rsid w:val="00E25CB8"/>
    <w:rsid w:val="00E4383B"/>
    <w:rsid w:val="00E57036"/>
    <w:rsid w:val="00E67A5D"/>
    <w:rsid w:val="00E704AC"/>
    <w:rsid w:val="00EB28BF"/>
    <w:rsid w:val="00EB705D"/>
    <w:rsid w:val="00EC5562"/>
    <w:rsid w:val="00EC5C1E"/>
    <w:rsid w:val="00EC6400"/>
    <w:rsid w:val="00EE0186"/>
    <w:rsid w:val="00EE2A13"/>
    <w:rsid w:val="00EE637B"/>
    <w:rsid w:val="00F04F3B"/>
    <w:rsid w:val="00F1539A"/>
    <w:rsid w:val="00F15A10"/>
    <w:rsid w:val="00F15D77"/>
    <w:rsid w:val="00F33E4B"/>
    <w:rsid w:val="00F35E82"/>
    <w:rsid w:val="00F502BD"/>
    <w:rsid w:val="00F653F4"/>
    <w:rsid w:val="00F6554B"/>
    <w:rsid w:val="00F67C53"/>
    <w:rsid w:val="00F7631B"/>
    <w:rsid w:val="00FA62AA"/>
    <w:rsid w:val="00FA7D8A"/>
    <w:rsid w:val="00FB0D1C"/>
    <w:rsid w:val="00FB483C"/>
    <w:rsid w:val="00FE0ADF"/>
    <w:rsid w:val="00FE0AEA"/>
    <w:rsid w:val="00FE26DE"/>
    <w:rsid w:val="00FF467B"/>
    <w:rsid w:val="3D9178CC"/>
    <w:rsid w:val="4D540AE3"/>
    <w:rsid w:val="7E636C6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13"/>
    <w:semiHidden/>
    <w:unhideWhenUsed/>
    <w:qFormat/>
    <w:uiPriority w:val="99"/>
    <w:pPr>
      <w:ind w:left="100" w:leftChars="2500"/>
    </w:pPr>
  </w:style>
  <w:style w:type="paragraph" w:styleId="3">
    <w:name w:val="Balloon Text"/>
    <w:basedOn w:val="1"/>
    <w:link w:val="9"/>
    <w:semiHidden/>
    <w:unhideWhenUsed/>
    <w:uiPriority w:val="99"/>
    <w:rPr>
      <w:sz w:val="18"/>
      <w:szCs w:val="18"/>
    </w:rPr>
  </w:style>
  <w:style w:type="paragraph" w:styleId="4">
    <w:name w:val="footer"/>
    <w:basedOn w:val="1"/>
    <w:link w:val="12"/>
    <w:unhideWhenUsed/>
    <w:uiPriority w:val="99"/>
    <w:pPr>
      <w:tabs>
        <w:tab w:val="center" w:pos="4153"/>
        <w:tab w:val="right" w:pos="8306"/>
      </w:tabs>
      <w:snapToGrid w:val="0"/>
      <w:jc w:val="left"/>
    </w:pPr>
    <w:rPr>
      <w:sz w:val="18"/>
      <w:szCs w:val="18"/>
    </w:rPr>
  </w:style>
  <w:style w:type="paragraph" w:styleId="5">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批注框文本 Char"/>
    <w:basedOn w:val="8"/>
    <w:link w:val="3"/>
    <w:semiHidden/>
    <w:uiPriority w:val="99"/>
    <w:rPr>
      <w:rFonts w:ascii="Calibri" w:hAnsi="Calibri" w:eastAsia="宋体" w:cs="Times New Roman"/>
      <w:sz w:val="18"/>
      <w:szCs w:val="18"/>
    </w:rPr>
  </w:style>
  <w:style w:type="paragraph" w:customStyle="1" w:styleId="10">
    <w:name w:val="肥料正文"/>
    <w:basedOn w:val="1"/>
    <w:qFormat/>
    <w:uiPriority w:val="0"/>
    <w:pPr>
      <w:adjustRightInd w:val="0"/>
      <w:snapToGrid w:val="0"/>
      <w:spacing w:line="316" w:lineRule="auto"/>
      <w:ind w:firstLine="200" w:firstLineChars="200"/>
    </w:pPr>
    <w:rPr>
      <w:rFonts w:ascii="Times New Roman" w:hAnsi="Times New Roman" w:eastAsia="汉鼎简书宋二"/>
      <w:spacing w:val="2"/>
      <w:kern w:val="0"/>
      <w:sz w:val="22"/>
      <w:szCs w:val="24"/>
    </w:rPr>
  </w:style>
  <w:style w:type="character" w:customStyle="1" w:styleId="11">
    <w:name w:val="页眉 Char"/>
    <w:basedOn w:val="8"/>
    <w:link w:val="5"/>
    <w:qFormat/>
    <w:uiPriority w:val="99"/>
    <w:rPr>
      <w:rFonts w:ascii="Calibri" w:hAnsi="Calibri" w:eastAsia="宋体" w:cs="Times New Roman"/>
      <w:sz w:val="18"/>
      <w:szCs w:val="18"/>
    </w:rPr>
  </w:style>
  <w:style w:type="character" w:customStyle="1" w:styleId="12">
    <w:name w:val="页脚 Char"/>
    <w:basedOn w:val="8"/>
    <w:link w:val="4"/>
    <w:qFormat/>
    <w:uiPriority w:val="99"/>
    <w:rPr>
      <w:rFonts w:ascii="Calibri" w:hAnsi="Calibri" w:eastAsia="宋体" w:cs="Times New Roman"/>
      <w:sz w:val="18"/>
      <w:szCs w:val="18"/>
    </w:rPr>
  </w:style>
  <w:style w:type="character" w:customStyle="1" w:styleId="13">
    <w:name w:val="日期 Char"/>
    <w:basedOn w:val="8"/>
    <w:link w:val="2"/>
    <w:semiHidden/>
    <w:qFormat/>
    <w:uiPriority w:val="99"/>
    <w:rPr>
      <w:rFonts w:ascii="Calibri" w:hAnsi="Calibri" w:eastAsia="宋体"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515</Words>
  <Characters>2939</Characters>
  <Lines>24</Lines>
  <Paragraphs>6</Paragraphs>
  <TotalTime>3</TotalTime>
  <ScaleCrop>false</ScaleCrop>
  <LinksUpToDate>false</LinksUpToDate>
  <CharactersWithSpaces>3448</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2020-05-14T12:07:00Z</dcterms:created>
  <dc:creator>jiangdw</dc:creator>
  <cp:lastModifiedBy>SY</cp:lastModifiedBy>
  <dcterms:modified xsi:type="dcterms:W3CDTF">2020-11-18T04:30:53Z</dcterms:modified>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