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cs="黑体"/>
          <w:b/>
          <w:spacing w:val="20"/>
          <w:w w:val="105"/>
          <w:sz w:val="36"/>
          <w:szCs w:val="36"/>
        </w:rPr>
      </w:pPr>
      <w:r>
        <w:rPr>
          <w:rFonts w:hint="eastAsia" w:ascii="仿宋_GB2312" w:hAnsi="宋体" w:eastAsia="仿宋_GB2312" w:cs="黑体"/>
          <w:b/>
          <w:spacing w:val="20"/>
          <w:w w:val="105"/>
          <w:sz w:val="36"/>
          <w:szCs w:val="36"/>
        </w:rPr>
        <w:t>朝阳市2020年</w:t>
      </w:r>
      <w:r>
        <w:rPr>
          <w:rFonts w:hint="eastAsia" w:ascii="仿宋_GB2312" w:hAnsi="仿宋" w:eastAsia="仿宋_GB2312" w:cs="黑体"/>
          <w:b/>
          <w:spacing w:val="20"/>
          <w:w w:val="105"/>
          <w:sz w:val="36"/>
          <w:szCs w:val="36"/>
        </w:rPr>
        <w:t>车用尿素水溶液</w:t>
      </w:r>
      <w:r>
        <w:rPr>
          <w:rFonts w:hint="eastAsia" w:ascii="仿宋_GB2312" w:hAnsi="宋体" w:eastAsia="仿宋_GB2312" w:cs="黑体"/>
          <w:b/>
          <w:spacing w:val="20"/>
          <w:w w:val="105"/>
          <w:sz w:val="36"/>
          <w:szCs w:val="36"/>
        </w:rPr>
        <w:t>产品质量监督</w:t>
      </w:r>
    </w:p>
    <w:p>
      <w:pPr>
        <w:jc w:val="center"/>
        <w:rPr>
          <w:rFonts w:ascii="仿宋_GB2312" w:hAnsi="宋体" w:eastAsia="仿宋_GB2312" w:cs="黑体"/>
          <w:b/>
          <w:spacing w:val="20"/>
          <w:w w:val="105"/>
          <w:sz w:val="36"/>
          <w:szCs w:val="36"/>
        </w:rPr>
      </w:pPr>
      <w:r>
        <w:rPr>
          <w:rFonts w:hint="eastAsia" w:ascii="仿宋_GB2312" w:hAnsi="宋体" w:eastAsia="仿宋_GB2312" w:cs="黑体"/>
          <w:b/>
          <w:spacing w:val="20"/>
          <w:w w:val="105"/>
          <w:sz w:val="36"/>
          <w:szCs w:val="36"/>
        </w:rPr>
        <w:t>抽查实施细则</w:t>
      </w:r>
    </w:p>
    <w:p>
      <w:pPr>
        <w:jc w:val="center"/>
        <w:rPr>
          <w:rFonts w:ascii="黑体" w:hAnsi="宋体" w:eastAsia="黑体"/>
          <w:szCs w:val="32"/>
        </w:rPr>
      </w:pPr>
    </w:p>
    <w:p>
      <w:pPr>
        <w:spacing w:line="360" w:lineRule="auto"/>
        <w:ind w:firstLine="562" w:firstLineChars="200"/>
        <w:jc w:val="left"/>
        <w:rPr>
          <w:rFonts w:ascii="仿宋_GB2312" w:eastAsia="仿宋_GB2312"/>
          <w:b/>
          <w:sz w:val="28"/>
          <w:szCs w:val="28"/>
        </w:rPr>
      </w:pPr>
      <w:r>
        <w:rPr>
          <w:rFonts w:hint="eastAsia" w:ascii="仿宋_GB2312" w:eastAsia="仿宋_GB2312"/>
          <w:b/>
          <w:sz w:val="28"/>
          <w:szCs w:val="28"/>
        </w:rPr>
        <w:t>1 适用范围</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细则适用于朝阳市车用尿素水溶液产品质量监督抽查，针对特殊情况的专项抽查、朝阳市内县级以上地方市场监督管理部门组织的地方监督抽查可参照执行。本细则内容包括产品分类、术语和定义、企业产品生产规模划分、检验依据、抽样、检验要求、判定原则、异议处理及附则。</w:t>
      </w:r>
    </w:p>
    <w:p>
      <w:pPr>
        <w:spacing w:line="360" w:lineRule="auto"/>
        <w:ind w:firstLine="562" w:firstLineChars="200"/>
        <w:jc w:val="left"/>
        <w:rPr>
          <w:rFonts w:ascii="仿宋_GB2312" w:eastAsia="仿宋_GB2312"/>
          <w:sz w:val="28"/>
          <w:szCs w:val="28"/>
        </w:rPr>
      </w:pPr>
      <w:r>
        <w:rPr>
          <w:rFonts w:hint="eastAsia" w:ascii="仿宋_GB2312" w:eastAsia="仿宋_GB2312"/>
          <w:b/>
          <w:sz w:val="28"/>
          <w:szCs w:val="28"/>
        </w:rPr>
        <w:t>2 产品分类</w:t>
      </w:r>
    </w:p>
    <w:p>
      <w:pPr>
        <w:spacing w:line="360" w:lineRule="auto"/>
        <w:ind w:firstLine="560" w:firstLineChars="200"/>
        <w:jc w:val="left"/>
        <w:rPr>
          <w:rFonts w:ascii="仿宋_GB2312" w:hAnsi="宋体" w:eastAsia="仿宋_GB2312"/>
          <w:sz w:val="28"/>
          <w:szCs w:val="28"/>
        </w:rPr>
      </w:pPr>
      <w:r>
        <w:rPr>
          <w:rFonts w:hint="eastAsia" w:ascii="仿宋_GB2312" w:eastAsia="仿宋_GB2312"/>
          <w:sz w:val="28"/>
          <w:szCs w:val="28"/>
        </w:rPr>
        <w:t>2.1 产品分类及代码见表1。</w:t>
      </w:r>
    </w:p>
    <w:p>
      <w:pPr>
        <w:adjustRightInd w:val="0"/>
        <w:snapToGrid w:val="0"/>
        <w:spacing w:line="560" w:lineRule="exact"/>
        <w:jc w:val="center"/>
        <w:rPr>
          <w:rFonts w:ascii="宋体" w:hAnsi="宋体" w:cs="宋体"/>
          <w:szCs w:val="21"/>
        </w:rPr>
      </w:pPr>
      <w:r>
        <w:rPr>
          <w:rFonts w:hint="eastAsia" w:ascii="仿宋_GB2312" w:eastAsia="仿宋_GB2312"/>
          <w:sz w:val="28"/>
          <w:szCs w:val="28"/>
        </w:rPr>
        <w:t>表</w:t>
      </w:r>
      <w:r>
        <w:rPr>
          <w:rFonts w:ascii="仿宋_GB2312" w:eastAsia="仿宋_GB2312"/>
          <w:sz w:val="28"/>
          <w:szCs w:val="28"/>
        </w:rPr>
        <w:t xml:space="preserve">1  </w:t>
      </w:r>
      <w:r>
        <w:rPr>
          <w:rFonts w:hint="eastAsia" w:ascii="仿宋_GB2312" w:eastAsia="仿宋_GB2312"/>
          <w:sz w:val="28"/>
          <w:szCs w:val="28"/>
        </w:rPr>
        <w:t>产品分类及代码</w:t>
      </w:r>
    </w:p>
    <w:tbl>
      <w:tblPr>
        <w:tblStyle w:val="6"/>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2163"/>
        <w:gridCol w:w="2373"/>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1" w:type="dxa"/>
            <w:vAlign w:val="center"/>
          </w:tcPr>
          <w:p>
            <w:pPr>
              <w:spacing w:line="276" w:lineRule="auto"/>
              <w:ind w:firstLine="21" w:firstLineChars="9"/>
              <w:jc w:val="center"/>
              <w:rPr>
                <w:rFonts w:hint="eastAsia" w:ascii="仿宋_GB2312" w:hAnsi="仿宋" w:eastAsia="仿宋_GB2312" w:cs="宋体"/>
                <w:sz w:val="24"/>
                <w:szCs w:val="24"/>
              </w:rPr>
            </w:pPr>
            <w:r>
              <w:rPr>
                <w:rFonts w:hint="eastAsia" w:ascii="仿宋_GB2312" w:hAnsi="仿宋" w:eastAsia="仿宋_GB2312" w:cs="宋体"/>
                <w:sz w:val="24"/>
                <w:szCs w:val="24"/>
              </w:rPr>
              <w:t>产品分类</w:t>
            </w:r>
          </w:p>
        </w:tc>
        <w:tc>
          <w:tcPr>
            <w:tcW w:w="2163" w:type="dxa"/>
            <w:vAlign w:val="center"/>
          </w:tcPr>
          <w:p>
            <w:pPr>
              <w:spacing w:line="276" w:lineRule="auto"/>
              <w:ind w:firstLine="26" w:firstLineChars="11"/>
              <w:jc w:val="center"/>
              <w:rPr>
                <w:rFonts w:hint="eastAsia" w:ascii="仿宋_GB2312" w:hAnsi="仿宋" w:eastAsia="仿宋_GB2312" w:cs="宋体"/>
                <w:sz w:val="24"/>
                <w:szCs w:val="24"/>
              </w:rPr>
            </w:pPr>
            <w:r>
              <w:rPr>
                <w:rFonts w:hint="eastAsia" w:ascii="仿宋_GB2312" w:hAnsi="仿宋" w:eastAsia="仿宋_GB2312" w:cs="宋体"/>
                <w:sz w:val="24"/>
                <w:szCs w:val="24"/>
              </w:rPr>
              <w:t>一级分类</w:t>
            </w:r>
          </w:p>
        </w:tc>
        <w:tc>
          <w:tcPr>
            <w:tcW w:w="2373" w:type="dxa"/>
            <w:vAlign w:val="center"/>
          </w:tcPr>
          <w:p>
            <w:pPr>
              <w:spacing w:line="276" w:lineRule="auto"/>
              <w:jc w:val="center"/>
              <w:rPr>
                <w:rFonts w:hint="eastAsia" w:ascii="仿宋_GB2312" w:hAnsi="仿宋" w:eastAsia="仿宋_GB2312" w:cs="宋体"/>
                <w:sz w:val="24"/>
                <w:szCs w:val="24"/>
              </w:rPr>
            </w:pPr>
            <w:r>
              <w:rPr>
                <w:rFonts w:hint="eastAsia" w:ascii="仿宋_GB2312" w:hAnsi="仿宋" w:eastAsia="仿宋_GB2312" w:cs="宋体"/>
                <w:sz w:val="24"/>
                <w:szCs w:val="24"/>
              </w:rPr>
              <w:t>二级分类</w:t>
            </w:r>
          </w:p>
        </w:tc>
        <w:tc>
          <w:tcPr>
            <w:tcW w:w="2702" w:type="dxa"/>
            <w:vAlign w:val="center"/>
          </w:tcPr>
          <w:p>
            <w:pPr>
              <w:spacing w:line="276" w:lineRule="auto"/>
              <w:jc w:val="center"/>
              <w:rPr>
                <w:rFonts w:hint="eastAsia" w:ascii="仿宋_GB2312" w:hAnsi="仿宋" w:eastAsia="仿宋_GB2312" w:cs="宋体"/>
                <w:sz w:val="24"/>
                <w:szCs w:val="24"/>
              </w:rPr>
            </w:pPr>
            <w:r>
              <w:rPr>
                <w:rFonts w:hint="eastAsia" w:ascii="仿宋_GB2312" w:hAnsi="仿宋" w:eastAsia="仿宋_GB2312" w:cs="宋体"/>
                <w:sz w:val="24"/>
                <w:szCs w:val="24"/>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51" w:type="dxa"/>
            <w:vAlign w:val="center"/>
          </w:tcPr>
          <w:p>
            <w:pPr>
              <w:spacing w:line="276" w:lineRule="auto"/>
              <w:ind w:firstLine="21" w:firstLineChars="9"/>
              <w:jc w:val="center"/>
              <w:rPr>
                <w:rFonts w:hint="eastAsia" w:ascii="仿宋_GB2312" w:hAnsi="仿宋" w:eastAsia="仿宋_GB2312" w:cs="宋体"/>
                <w:sz w:val="24"/>
                <w:szCs w:val="24"/>
              </w:rPr>
            </w:pPr>
            <w:r>
              <w:rPr>
                <w:rFonts w:hint="eastAsia" w:ascii="仿宋_GB2312" w:hAnsi="仿宋" w:eastAsia="仿宋_GB2312" w:cs="宋体"/>
                <w:sz w:val="24"/>
                <w:szCs w:val="24"/>
              </w:rPr>
              <w:t>分类代码</w:t>
            </w:r>
          </w:p>
        </w:tc>
        <w:tc>
          <w:tcPr>
            <w:tcW w:w="2163" w:type="dxa"/>
            <w:vAlign w:val="center"/>
          </w:tcPr>
          <w:p>
            <w:pPr>
              <w:spacing w:line="276" w:lineRule="auto"/>
              <w:ind w:firstLine="21" w:firstLineChars="9"/>
              <w:jc w:val="center"/>
              <w:rPr>
                <w:rFonts w:hint="eastAsia" w:ascii="仿宋_GB2312" w:hAnsi="仿宋" w:eastAsia="仿宋_GB2312" w:cs="宋体"/>
                <w:sz w:val="24"/>
                <w:szCs w:val="24"/>
              </w:rPr>
            </w:pPr>
            <w:r>
              <w:rPr>
                <w:rFonts w:hint="eastAsia" w:ascii="仿宋_GB2312" w:hAnsi="仿宋" w:eastAsia="仿宋_GB2312" w:cs="宋体"/>
                <w:sz w:val="24"/>
                <w:szCs w:val="24"/>
              </w:rPr>
              <w:t>6</w:t>
            </w:r>
          </w:p>
        </w:tc>
        <w:tc>
          <w:tcPr>
            <w:tcW w:w="2373" w:type="dxa"/>
            <w:vAlign w:val="center"/>
          </w:tcPr>
          <w:p>
            <w:pPr>
              <w:spacing w:line="276" w:lineRule="auto"/>
              <w:ind w:firstLine="21" w:firstLineChars="9"/>
              <w:jc w:val="center"/>
              <w:rPr>
                <w:rFonts w:hint="eastAsia" w:ascii="仿宋_GB2312" w:hAnsi="仿宋" w:eastAsia="仿宋_GB2312" w:cs="宋体"/>
                <w:sz w:val="24"/>
                <w:szCs w:val="24"/>
              </w:rPr>
            </w:pPr>
            <w:r>
              <w:rPr>
                <w:rFonts w:hint="eastAsia" w:ascii="仿宋_GB2312" w:hAnsi="仿宋" w:eastAsia="仿宋_GB2312" w:cs="宋体"/>
                <w:sz w:val="24"/>
                <w:szCs w:val="24"/>
              </w:rPr>
              <w:t>606</w:t>
            </w:r>
          </w:p>
        </w:tc>
        <w:tc>
          <w:tcPr>
            <w:tcW w:w="2702" w:type="dxa"/>
            <w:vAlign w:val="center"/>
          </w:tcPr>
          <w:p>
            <w:pPr>
              <w:spacing w:line="276" w:lineRule="auto"/>
              <w:ind w:firstLine="21" w:firstLineChars="9"/>
              <w:jc w:val="center"/>
              <w:rPr>
                <w:rFonts w:hint="eastAsia" w:ascii="仿宋_GB2312" w:hAnsi="仿宋" w:eastAsia="仿宋_GB2312" w:cs="宋体"/>
                <w:sz w:val="24"/>
                <w:szCs w:val="24"/>
              </w:rPr>
            </w:pPr>
            <w:r>
              <w:rPr>
                <w:rFonts w:hint="eastAsia" w:ascii="仿宋_GB2312" w:hAnsi="仿宋" w:eastAsia="仿宋_GB2312"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551" w:type="dxa"/>
            <w:vAlign w:val="center"/>
          </w:tcPr>
          <w:p>
            <w:pPr>
              <w:spacing w:line="276" w:lineRule="auto"/>
              <w:ind w:firstLine="21" w:firstLineChars="9"/>
              <w:jc w:val="center"/>
              <w:rPr>
                <w:rFonts w:hint="eastAsia" w:ascii="仿宋_GB2312" w:hAnsi="仿宋" w:eastAsia="仿宋_GB2312" w:cs="宋体"/>
                <w:sz w:val="24"/>
                <w:szCs w:val="24"/>
              </w:rPr>
            </w:pPr>
            <w:r>
              <w:rPr>
                <w:rFonts w:hint="eastAsia" w:ascii="仿宋_GB2312" w:hAnsi="仿宋" w:eastAsia="仿宋_GB2312" w:cs="宋体"/>
                <w:sz w:val="24"/>
                <w:szCs w:val="24"/>
              </w:rPr>
              <w:t>分类名称</w:t>
            </w:r>
          </w:p>
        </w:tc>
        <w:tc>
          <w:tcPr>
            <w:tcW w:w="2163" w:type="dxa"/>
            <w:vAlign w:val="center"/>
          </w:tcPr>
          <w:p>
            <w:pPr>
              <w:spacing w:line="276" w:lineRule="auto"/>
              <w:ind w:firstLine="21" w:firstLineChars="9"/>
              <w:jc w:val="center"/>
              <w:rPr>
                <w:rFonts w:hint="eastAsia" w:ascii="仿宋_GB2312" w:hAnsi="仿宋" w:eastAsia="仿宋_GB2312" w:cs="宋体"/>
                <w:sz w:val="24"/>
                <w:szCs w:val="24"/>
              </w:rPr>
            </w:pPr>
            <w:r>
              <w:rPr>
                <w:rFonts w:hint="eastAsia" w:ascii="仿宋_GB2312" w:hAnsi="仿宋" w:eastAsia="仿宋_GB2312" w:cs="宋体"/>
                <w:sz w:val="24"/>
                <w:szCs w:val="24"/>
              </w:rPr>
              <w:t>机械及安防</w:t>
            </w:r>
          </w:p>
        </w:tc>
        <w:tc>
          <w:tcPr>
            <w:tcW w:w="2373" w:type="dxa"/>
            <w:vAlign w:val="center"/>
          </w:tcPr>
          <w:p>
            <w:pPr>
              <w:spacing w:line="276" w:lineRule="auto"/>
              <w:ind w:firstLine="21" w:firstLineChars="9"/>
              <w:jc w:val="center"/>
              <w:rPr>
                <w:rFonts w:hint="eastAsia" w:ascii="仿宋_GB2312" w:hAnsi="仿宋" w:eastAsia="仿宋_GB2312" w:cs="宋体"/>
                <w:sz w:val="24"/>
                <w:szCs w:val="24"/>
              </w:rPr>
            </w:pPr>
            <w:r>
              <w:rPr>
                <w:rFonts w:hint="eastAsia" w:ascii="仿宋_GB2312" w:hAnsi="仿宋" w:eastAsia="仿宋_GB2312" w:cs="宋体"/>
                <w:sz w:val="24"/>
                <w:szCs w:val="24"/>
              </w:rPr>
              <w:t>车辆相关产品</w:t>
            </w:r>
          </w:p>
        </w:tc>
        <w:tc>
          <w:tcPr>
            <w:tcW w:w="2702" w:type="dxa"/>
            <w:vAlign w:val="center"/>
          </w:tcPr>
          <w:p>
            <w:pPr>
              <w:spacing w:line="276" w:lineRule="auto"/>
              <w:ind w:firstLine="21" w:firstLineChars="9"/>
              <w:jc w:val="center"/>
              <w:rPr>
                <w:rFonts w:hint="eastAsia" w:ascii="仿宋_GB2312" w:hAnsi="仿宋" w:eastAsia="仿宋_GB2312" w:cs="宋体"/>
                <w:sz w:val="24"/>
                <w:szCs w:val="24"/>
              </w:rPr>
            </w:pPr>
            <w:r>
              <w:rPr>
                <w:rFonts w:hint="eastAsia" w:ascii="仿宋_GB2312" w:hAnsi="仿宋" w:eastAsia="仿宋_GB2312" w:cs="宋体"/>
                <w:sz w:val="24"/>
                <w:szCs w:val="24"/>
              </w:rPr>
              <w:t>车用尿素水溶液</w:t>
            </w:r>
          </w:p>
        </w:tc>
      </w:tr>
    </w:tbl>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2.2产品种类</w:t>
      </w:r>
    </w:p>
    <w:p>
      <w:pPr>
        <w:spacing w:line="360" w:lineRule="auto"/>
        <w:ind w:firstLine="560" w:firstLineChars="200"/>
        <w:rPr>
          <w:rFonts w:hint="eastAsia" w:ascii="仿宋_GB2312" w:eastAsia="仿宋_GB2312"/>
          <w:szCs w:val="21"/>
        </w:rPr>
      </w:pPr>
      <w:r>
        <w:rPr>
          <w:rFonts w:hint="eastAsia" w:ascii="仿宋_GB2312" w:hAnsi="仿宋" w:eastAsia="仿宋_GB2312"/>
          <w:sz w:val="28"/>
          <w:szCs w:val="28"/>
        </w:rPr>
        <w:t>柴油发动机氮氧化物还原剂尿素水溶液（AUS 32）。</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2.3术语和定义</w:t>
      </w:r>
    </w:p>
    <w:p>
      <w:pPr>
        <w:spacing w:line="360" w:lineRule="auto"/>
        <w:ind w:firstLine="560" w:firstLineChars="200"/>
        <w:rPr>
          <w:rFonts w:hint="eastAsia" w:ascii="仿宋_GB2312" w:hAnsi="仿宋" w:eastAsia="仿宋_GB2312"/>
          <w:sz w:val="28"/>
          <w:szCs w:val="28"/>
        </w:rPr>
      </w:pPr>
      <w:r>
        <w:rPr>
          <w:rFonts w:hint="eastAsia" w:ascii="仿宋_GB2312" w:hAnsi="仿宋" w:eastAsia="仿宋_GB2312"/>
          <w:sz w:val="28"/>
          <w:szCs w:val="28"/>
        </w:rPr>
        <w:t>本细则中所使用的术语和定义同相关引用标准。</w:t>
      </w:r>
    </w:p>
    <w:p>
      <w:pPr>
        <w:adjustRightInd w:val="0"/>
        <w:snapToGrid w:val="0"/>
        <w:spacing w:line="360" w:lineRule="auto"/>
        <w:ind w:firstLine="562" w:firstLineChars="200"/>
        <w:rPr>
          <w:rFonts w:ascii="仿宋_GB2312" w:eastAsia="仿宋_GB2312"/>
          <w:b/>
          <w:sz w:val="28"/>
          <w:szCs w:val="28"/>
        </w:rPr>
      </w:pPr>
      <w:r>
        <w:rPr>
          <w:rFonts w:hint="eastAsia" w:ascii="仿宋_GB2312" w:eastAsia="仿宋_GB2312"/>
          <w:b/>
          <w:sz w:val="28"/>
          <w:szCs w:val="28"/>
        </w:rPr>
        <w:t>3生产企业规模划分</w:t>
      </w:r>
    </w:p>
    <w:p>
      <w:pPr>
        <w:snapToGrid w:val="0"/>
        <w:spacing w:line="360" w:lineRule="auto"/>
        <w:ind w:left="360"/>
        <w:rPr>
          <w:rFonts w:ascii="仿宋_GB2312" w:eastAsia="仿宋_GB2312"/>
          <w:sz w:val="24"/>
        </w:rPr>
      </w:pPr>
      <w:r>
        <w:rPr>
          <w:rFonts w:hint="eastAsia" w:ascii="仿宋_GB2312" w:eastAsia="仿宋_GB2312"/>
          <w:sz w:val="28"/>
          <w:szCs w:val="28"/>
        </w:rPr>
        <w:t>根据国家统计局印发的相关管理办法，确定企业规模。</w:t>
      </w:r>
    </w:p>
    <w:p>
      <w:pPr>
        <w:adjustRightInd w:val="0"/>
        <w:snapToGrid w:val="0"/>
        <w:spacing w:line="360" w:lineRule="auto"/>
        <w:ind w:firstLine="562" w:firstLineChars="200"/>
        <w:rPr>
          <w:rFonts w:ascii="仿宋_GB2312" w:eastAsia="仿宋_GB2312"/>
          <w:b/>
          <w:sz w:val="28"/>
          <w:szCs w:val="28"/>
        </w:rPr>
      </w:pPr>
      <w:r>
        <w:rPr>
          <w:rFonts w:hint="eastAsia" w:ascii="仿宋_GB2312" w:eastAsia="仿宋_GB2312"/>
          <w:b/>
          <w:sz w:val="28"/>
          <w:szCs w:val="28"/>
        </w:rPr>
        <w:t>4 检验依据</w:t>
      </w:r>
    </w:p>
    <w:p>
      <w:pPr>
        <w:spacing w:line="360" w:lineRule="auto"/>
        <w:ind w:firstLine="560" w:firstLineChars="200"/>
        <w:rPr>
          <w:rFonts w:hint="eastAsia" w:ascii="仿宋_GB2312" w:hAnsi="仿宋" w:eastAsia="仿宋_GB2312"/>
        </w:rPr>
      </w:pPr>
      <w:r>
        <w:rPr>
          <w:rFonts w:hint="eastAsia" w:ascii="仿宋_GB2312" w:hAnsi="仿宋" w:eastAsia="仿宋_GB2312"/>
          <w:sz w:val="28"/>
          <w:szCs w:val="28"/>
        </w:rPr>
        <w:t>凡是注日期的文件，其随后所有的修改单（不包括勘误的内容）或修订版不适用于本细则。凡是不注日期的文件，其最新版本适用于本细则。</w:t>
      </w:r>
    </w:p>
    <w:p>
      <w:pPr>
        <w:spacing w:line="360" w:lineRule="auto"/>
        <w:ind w:firstLine="560" w:firstLineChars="200"/>
        <w:rPr>
          <w:rFonts w:hint="eastAsia" w:ascii="仿宋_GB2312" w:hAnsi="仿宋" w:eastAsia="仿宋_GB2312"/>
          <w:sz w:val="28"/>
          <w:szCs w:val="28"/>
        </w:rPr>
      </w:pPr>
      <w:r>
        <w:rPr>
          <w:rFonts w:hint="eastAsia" w:ascii="仿宋_GB2312" w:hAnsi="仿宋" w:eastAsia="仿宋_GB2312"/>
          <w:sz w:val="28"/>
          <w:szCs w:val="28"/>
        </w:rPr>
        <w:t>GB 29518-2013柴油发动机氮氧化物还原剂尿素水溶液（AUS 32）</w:t>
      </w:r>
    </w:p>
    <w:p>
      <w:pPr>
        <w:adjustRightInd w:val="0"/>
        <w:snapToGrid w:val="0"/>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GB/T4756石油液体手工取样法</w:t>
      </w:r>
    </w:p>
    <w:p>
      <w:pPr>
        <w:spacing w:line="360" w:lineRule="auto"/>
        <w:ind w:firstLine="560" w:firstLineChars="200"/>
        <w:rPr>
          <w:rFonts w:hint="eastAsia" w:ascii="仿宋_GB2312" w:hAnsi="仿宋" w:eastAsia="仿宋_GB2312"/>
          <w:sz w:val="28"/>
          <w:szCs w:val="28"/>
        </w:rPr>
      </w:pPr>
      <w:r>
        <w:rPr>
          <w:rFonts w:ascii="仿宋_GB2312" w:hAnsi="仿宋" w:eastAsia="仿宋_GB2312"/>
          <w:sz w:val="28"/>
          <w:szCs w:val="28"/>
        </w:rPr>
        <w:t>GB/T10111随机数的产生及其在产品质量抽样检验中的应用程序</w:t>
      </w:r>
    </w:p>
    <w:p>
      <w:pPr>
        <w:spacing w:line="360" w:lineRule="auto"/>
        <w:ind w:firstLine="560" w:firstLineChars="200"/>
        <w:rPr>
          <w:rFonts w:hint="eastAsia" w:ascii="仿宋_GB2312" w:hAnsi="仿宋" w:eastAsia="仿宋_GB2312"/>
          <w:sz w:val="28"/>
          <w:szCs w:val="28"/>
        </w:rPr>
      </w:pPr>
      <w:r>
        <w:rPr>
          <w:rFonts w:hint="eastAsia" w:ascii="仿宋_GB2312" w:hAnsi="仿宋" w:eastAsia="仿宋_GB2312"/>
          <w:sz w:val="28"/>
          <w:szCs w:val="28"/>
        </w:rPr>
        <w:t>相关的法律法规、部门规章和规范</w:t>
      </w:r>
    </w:p>
    <w:p>
      <w:pPr>
        <w:spacing w:line="360" w:lineRule="auto"/>
        <w:ind w:firstLine="560" w:firstLineChars="200"/>
        <w:rPr>
          <w:rFonts w:hint="eastAsia" w:ascii="仿宋_GB2312" w:hAnsi="仿宋" w:eastAsia="仿宋_GB2312"/>
          <w:sz w:val="28"/>
          <w:szCs w:val="28"/>
        </w:rPr>
      </w:pPr>
      <w:r>
        <w:rPr>
          <w:rFonts w:hint="eastAsia" w:ascii="仿宋_GB2312" w:hAnsi="仿宋" w:eastAsia="仿宋_GB2312"/>
          <w:sz w:val="28"/>
          <w:szCs w:val="28"/>
        </w:rPr>
        <w:t>经备案现行有效的企业标准、地方标准及产品明示质量要求</w:t>
      </w:r>
    </w:p>
    <w:p>
      <w:pPr>
        <w:adjustRightInd w:val="0"/>
        <w:snapToGrid w:val="0"/>
        <w:spacing w:line="360" w:lineRule="auto"/>
        <w:ind w:firstLine="562" w:firstLineChars="200"/>
        <w:rPr>
          <w:rFonts w:ascii="仿宋_GB2312" w:eastAsia="仿宋_GB2312"/>
          <w:b/>
          <w:sz w:val="28"/>
          <w:szCs w:val="28"/>
        </w:rPr>
      </w:pPr>
      <w:r>
        <w:rPr>
          <w:rFonts w:hint="eastAsia" w:ascii="仿宋_GB2312" w:eastAsia="仿宋_GB2312"/>
          <w:b/>
          <w:sz w:val="28"/>
          <w:szCs w:val="28"/>
        </w:rPr>
        <w:t>5抽样</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5.1抽样型号或规格</w:t>
      </w:r>
    </w:p>
    <w:p>
      <w:pPr>
        <w:spacing w:line="360" w:lineRule="auto"/>
        <w:ind w:firstLine="560" w:firstLineChars="200"/>
        <w:rPr>
          <w:rFonts w:hint="eastAsia" w:ascii="仿宋_GB2312" w:hAnsi="仿宋" w:eastAsia="仿宋_GB2312"/>
          <w:sz w:val="28"/>
          <w:szCs w:val="28"/>
        </w:rPr>
      </w:pPr>
      <w:r>
        <w:rPr>
          <w:rFonts w:hint="eastAsia" w:ascii="仿宋_GB2312" w:hAnsi="仿宋" w:eastAsia="仿宋_GB2312"/>
          <w:sz w:val="28"/>
          <w:szCs w:val="28"/>
        </w:rPr>
        <w:t>抽取样品应为同一型号规格、同一批次产品。</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5.2抽样基数、抽样数量</w:t>
      </w:r>
    </w:p>
    <w:p>
      <w:pPr>
        <w:spacing w:line="360" w:lineRule="auto"/>
        <w:ind w:firstLine="560" w:firstLineChars="200"/>
        <w:rPr>
          <w:rFonts w:hint="eastAsia" w:ascii="仿宋_GB2312" w:hAnsi="仿宋" w:eastAsia="仿宋_GB2312"/>
          <w:sz w:val="28"/>
          <w:szCs w:val="28"/>
        </w:rPr>
      </w:pPr>
      <w:r>
        <w:rPr>
          <w:rFonts w:hint="eastAsia" w:ascii="仿宋_GB2312" w:hAnsi="仿宋" w:eastAsia="仿宋_GB2312"/>
          <w:sz w:val="28"/>
          <w:szCs w:val="28"/>
        </w:rPr>
        <w:t>在企业的成品库内或待销产品中随机抽取有产品质量检验合格证明或者以其他形式表明合格的产品。</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5.2.1抽样基数</w:t>
      </w:r>
    </w:p>
    <w:p>
      <w:pPr>
        <w:adjustRightInd w:val="0"/>
        <w:snapToGrid w:val="0"/>
        <w:spacing w:line="360" w:lineRule="auto"/>
        <w:ind w:firstLine="560" w:firstLineChars="200"/>
        <w:rPr>
          <w:rFonts w:hint="eastAsia" w:ascii="仿宋_GB2312" w:hAnsi="仿宋" w:eastAsia="仿宋_GB2312"/>
          <w:sz w:val="28"/>
          <w:szCs w:val="28"/>
        </w:rPr>
      </w:pPr>
      <w:r>
        <w:rPr>
          <w:rFonts w:hint="eastAsia" w:ascii="仿宋_GB2312" w:hAnsi="仿宋" w:eastAsia="仿宋_GB2312"/>
          <w:sz w:val="28"/>
          <w:szCs w:val="28"/>
        </w:rPr>
        <w:t>生产领域抽样时，抽样基数应不少于</w:t>
      </w:r>
      <w:r>
        <w:rPr>
          <w:rFonts w:ascii="仿宋_GB2312" w:hAnsi="仿宋" w:eastAsia="仿宋_GB2312"/>
          <w:sz w:val="28"/>
          <w:szCs w:val="28"/>
        </w:rPr>
        <w:t>100</w:t>
      </w:r>
      <w:r>
        <w:rPr>
          <w:rFonts w:hint="eastAsia" w:ascii="仿宋_GB2312" w:hAnsi="仿宋" w:eastAsia="仿宋_GB2312"/>
          <w:sz w:val="28"/>
          <w:szCs w:val="28"/>
        </w:rPr>
        <w:t>0kg。</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5.2.2抽样数量</w:t>
      </w:r>
    </w:p>
    <w:p>
      <w:pPr>
        <w:spacing w:line="360" w:lineRule="auto"/>
        <w:ind w:firstLine="560" w:firstLineChars="200"/>
        <w:rPr>
          <w:rFonts w:hint="eastAsia" w:ascii="仿宋_GB2312" w:hAnsi="仿宋" w:eastAsia="仿宋_GB2312"/>
          <w:sz w:val="28"/>
          <w:szCs w:val="28"/>
        </w:rPr>
      </w:pPr>
      <w:r>
        <w:rPr>
          <w:rFonts w:hint="eastAsia" w:ascii="仿宋_GB2312" w:hAnsi="仿宋" w:eastAsia="仿宋_GB2312"/>
          <w:sz w:val="28"/>
          <w:szCs w:val="28"/>
        </w:rPr>
        <w:t>在生产企业成品罐抽样时，取样方法执行</w:t>
      </w:r>
      <w:r>
        <w:rPr>
          <w:rFonts w:ascii="仿宋_GB2312" w:hAnsi="仿宋" w:eastAsia="仿宋_GB2312"/>
          <w:sz w:val="28"/>
          <w:szCs w:val="28"/>
        </w:rPr>
        <w:t>GB/T 4756</w:t>
      </w:r>
      <w:r>
        <w:rPr>
          <w:rFonts w:hint="eastAsia" w:ascii="仿宋_GB2312" w:hAnsi="仿宋" w:eastAsia="仿宋_GB2312"/>
          <w:sz w:val="28"/>
          <w:szCs w:val="28"/>
        </w:rPr>
        <w:t>，取8kg为样本，分作两份，一份作为检验样品，一份作为备用样品。</w:t>
      </w:r>
    </w:p>
    <w:p>
      <w:pPr>
        <w:spacing w:line="360" w:lineRule="auto"/>
        <w:ind w:firstLine="560" w:firstLineChars="200"/>
        <w:rPr>
          <w:rFonts w:hint="eastAsia" w:ascii="仿宋_GB2312" w:hAnsi="仿宋" w:eastAsia="仿宋_GB2312"/>
          <w:sz w:val="28"/>
          <w:szCs w:val="28"/>
        </w:rPr>
      </w:pPr>
      <w:r>
        <w:rPr>
          <w:rFonts w:hint="eastAsia" w:ascii="仿宋_GB2312" w:hAnsi="仿宋" w:eastAsia="仿宋_GB2312"/>
          <w:sz w:val="28"/>
          <w:szCs w:val="28"/>
        </w:rPr>
        <w:t>在生产企业成品库抽样时，取样方法执行</w:t>
      </w:r>
      <w:r>
        <w:rPr>
          <w:rFonts w:ascii="仿宋_GB2312" w:hAnsi="仿宋" w:eastAsia="仿宋_GB2312"/>
          <w:sz w:val="28"/>
          <w:szCs w:val="28"/>
        </w:rPr>
        <w:t>GB/T 10111</w:t>
      </w:r>
      <w:r>
        <w:rPr>
          <w:rFonts w:hint="eastAsia" w:ascii="仿宋_GB2312" w:hAnsi="仿宋" w:eastAsia="仿宋_GB2312"/>
          <w:sz w:val="28"/>
          <w:szCs w:val="28"/>
        </w:rPr>
        <w:t>，取不小于</w:t>
      </w:r>
      <w:r>
        <w:rPr>
          <w:rFonts w:ascii="仿宋_GB2312" w:hAnsi="仿宋" w:eastAsia="仿宋_GB2312"/>
          <w:sz w:val="28"/>
          <w:szCs w:val="28"/>
        </w:rPr>
        <w:t>2</w:t>
      </w:r>
      <w:r>
        <w:rPr>
          <w:rFonts w:hint="eastAsia" w:ascii="仿宋_GB2312" w:hAnsi="仿宋" w:eastAsia="仿宋_GB2312"/>
          <w:sz w:val="28"/>
          <w:szCs w:val="28"/>
        </w:rPr>
        <w:t>个最小独立包装，总量不少于8kg的样品，作为检验样品和备用样。</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在本细则中，检验机构在检验过程中对检验结果进行复验所使用的样品，应是抽取的检验样品，不能使用备用样品。备用样品仅是指受检单位或经过样品确认的生产企业对检验结果提出异议，需要对不合格项目进行复检时使用。</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5.3样品处置</w:t>
      </w:r>
    </w:p>
    <w:p>
      <w:pPr>
        <w:spacing w:line="360" w:lineRule="auto"/>
        <w:rPr>
          <w:rFonts w:hint="eastAsia" w:ascii="仿宋_GB2312" w:hAnsi="仿宋" w:eastAsia="仿宋_GB2312"/>
          <w:color w:val="FF0000"/>
          <w:sz w:val="28"/>
          <w:szCs w:val="28"/>
        </w:rPr>
      </w:pPr>
      <w:r>
        <w:rPr>
          <w:rFonts w:hint="eastAsia" w:ascii="仿宋_GB2312" w:hAnsi="仿宋" w:eastAsia="仿宋_GB2312"/>
          <w:sz w:val="28"/>
          <w:szCs w:val="28"/>
        </w:rPr>
        <w:t>5.3.1 对抽取的样品，在封条上分别注明“检验样品”与“备用样品”，当场对样品的瓶口或桶口密封。为保证样品的真实性，要有相应的防拆封措施，并保证封条在运输过程中不会破损。封条上至少要有产品名称、抽样日期、抽样人签字、被抽查企业代表签字及抽样单位公章等相关信息。</w:t>
      </w:r>
    </w:p>
    <w:p>
      <w:pPr>
        <w:spacing w:line="360" w:lineRule="auto"/>
        <w:rPr>
          <w:rFonts w:hint="eastAsia" w:ascii="仿宋_GB2312" w:hAnsi="仿宋" w:eastAsia="仿宋_GB2312"/>
          <w:sz w:val="28"/>
          <w:szCs w:val="28"/>
        </w:rPr>
      </w:pPr>
      <w:r>
        <w:rPr>
          <w:rFonts w:hint="eastAsia" w:ascii="仿宋_GB2312" w:hAnsi="仿宋" w:eastAsia="仿宋_GB2312"/>
          <w:sz w:val="28"/>
          <w:szCs w:val="28"/>
        </w:rPr>
        <w:t>5.3.2抽取的样品应避免长时间在高于25℃的条件下运输和储存。抽取的样品应按运输条件包装好，由抽样人员通过合适的途径运送至样品检验机构。采用邮寄方式运送的样品，抽样人员应对样品做好防破损包装，交由有资质的公司运送。运输时严防雨淋、日晒、受潮。装卸时轻搬轻放，严禁掷抛。</w:t>
      </w:r>
    </w:p>
    <w:p>
      <w:pPr>
        <w:spacing w:line="360" w:lineRule="auto"/>
        <w:rPr>
          <w:rFonts w:hint="eastAsia" w:ascii="仿宋_GB2312" w:hAnsi="仿宋" w:eastAsia="仿宋_GB2312"/>
          <w:sz w:val="28"/>
          <w:szCs w:val="28"/>
        </w:rPr>
      </w:pPr>
      <w:r>
        <w:rPr>
          <w:rFonts w:hint="eastAsia" w:ascii="仿宋_GB2312" w:hAnsi="仿宋" w:eastAsia="仿宋_GB2312"/>
          <w:sz w:val="28"/>
          <w:szCs w:val="28"/>
        </w:rPr>
        <w:t>5.3.3 备用样品应该贮存在阴凉(储存温度-5℃～25℃)、干燥、避免阳光直射的安全处。应保证备用样品在整个保存期间签封完整无损。</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5.4抽样单</w:t>
      </w:r>
    </w:p>
    <w:p>
      <w:pPr>
        <w:spacing w:line="360" w:lineRule="auto"/>
        <w:ind w:firstLine="560" w:firstLineChars="200"/>
        <w:rPr>
          <w:rFonts w:hint="eastAsia" w:ascii="仿宋_GB2312" w:hAnsi="仿宋" w:eastAsia="仿宋_GB2312"/>
          <w:sz w:val="28"/>
          <w:szCs w:val="28"/>
        </w:rPr>
      </w:pPr>
      <w:r>
        <w:rPr>
          <w:rFonts w:hint="eastAsia" w:ascii="仿宋_GB2312" w:hAnsi="仿宋" w:eastAsia="仿宋_GB2312"/>
          <w:sz w:val="28"/>
          <w:szCs w:val="28"/>
        </w:rPr>
        <w:t>应按有关规定填写抽样单，记录被抽查产品及企业相关信息，同时记录被抽查企业上一年度生产的车用尿素水溶液产品的销售总额（以万元计）；若企业上一年度未生产，则记录本年度实际生产产品的销售总额，并加以注明。</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5.5样品获取方式</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监督抽查所需的样品要在受检单位以购买方式获取。</w:t>
      </w:r>
    </w:p>
    <w:p>
      <w:pPr>
        <w:adjustRightInd w:val="0"/>
        <w:snapToGrid w:val="0"/>
        <w:spacing w:line="360" w:lineRule="auto"/>
        <w:ind w:firstLine="562" w:firstLineChars="200"/>
        <w:rPr>
          <w:rFonts w:ascii="仿宋_GB2312" w:eastAsia="仿宋_GB2312"/>
          <w:b/>
          <w:sz w:val="28"/>
          <w:szCs w:val="28"/>
        </w:rPr>
      </w:pPr>
      <w:r>
        <w:rPr>
          <w:rFonts w:hint="eastAsia" w:ascii="仿宋_GB2312" w:eastAsia="仿宋_GB2312"/>
          <w:b/>
          <w:sz w:val="28"/>
          <w:szCs w:val="28"/>
        </w:rPr>
        <w:t>6检验要求</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6.1检验项目及重要程度分类</w:t>
      </w:r>
    </w:p>
    <w:p>
      <w:pPr>
        <w:adjustRightInd w:val="0"/>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rPr>
        <w:t>检验项目及重要程度分类见表2。</w:t>
      </w:r>
    </w:p>
    <w:p>
      <w:pPr>
        <w:widowControl/>
        <w:jc w:val="center"/>
        <w:rPr>
          <w:rFonts w:hint="eastAsia" w:ascii="仿宋_GB2312" w:hAnsi="仿宋" w:eastAsia="仿宋_GB2312"/>
          <w:sz w:val="24"/>
          <w:szCs w:val="24"/>
        </w:rPr>
      </w:pPr>
      <w:r>
        <w:rPr>
          <w:rFonts w:hint="eastAsia" w:ascii="仿宋_GB2312" w:hAnsi="仿宋" w:eastAsia="仿宋_GB2312"/>
          <w:sz w:val="24"/>
          <w:szCs w:val="24"/>
        </w:rPr>
        <w:t>表2车用尿素水溶液产品检验项目及重要程度分类</w:t>
      </w:r>
    </w:p>
    <w:tbl>
      <w:tblPr>
        <w:tblStyle w:val="6"/>
        <w:tblW w:w="89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94"/>
        <w:gridCol w:w="720"/>
        <w:gridCol w:w="2242"/>
        <w:gridCol w:w="1538"/>
        <w:gridCol w:w="2129"/>
        <w:gridCol w:w="931"/>
        <w:gridCol w:w="7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594" w:type="dxa"/>
            <w:vMerge w:val="restart"/>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序号</w:t>
            </w:r>
          </w:p>
        </w:tc>
        <w:tc>
          <w:tcPr>
            <w:tcW w:w="2962" w:type="dxa"/>
            <w:gridSpan w:val="2"/>
            <w:vMerge w:val="restart"/>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检验项目</w:t>
            </w:r>
          </w:p>
        </w:tc>
        <w:tc>
          <w:tcPr>
            <w:tcW w:w="1538" w:type="dxa"/>
            <w:vMerge w:val="restart"/>
            <w:tcBorders>
              <w:top w:val="single" w:color="000000" w:sz="6" w:space="0"/>
              <w:left w:val="single" w:color="000000" w:sz="6" w:space="0"/>
              <w:bottom w:val="single" w:color="000000" w:sz="6" w:space="0"/>
              <w:right w:val="single" w:color="000000" w:sz="6" w:space="0"/>
            </w:tcBorders>
            <w:vAlign w:val="center"/>
          </w:tcPr>
          <w:p>
            <w:pPr>
              <w:tabs>
                <w:tab w:val="left" w:pos="2002"/>
              </w:tabs>
              <w:spacing w:line="276" w:lineRule="auto"/>
              <w:ind w:left="-42" w:leftChars="-20"/>
              <w:jc w:val="center"/>
              <w:rPr>
                <w:rFonts w:hint="eastAsia" w:ascii="仿宋_GB2312" w:hAnsi="仿宋" w:eastAsia="仿宋_GB2312" w:cs="Arial"/>
                <w:szCs w:val="21"/>
              </w:rPr>
            </w:pPr>
            <w:r>
              <w:rPr>
                <w:rFonts w:hint="eastAsia" w:ascii="仿宋_GB2312" w:hAnsi="仿宋" w:eastAsia="仿宋_GB2312" w:cs="Arial"/>
                <w:szCs w:val="21"/>
              </w:rPr>
              <w:t>依据标准法规</w:t>
            </w:r>
          </w:p>
        </w:tc>
        <w:tc>
          <w:tcPr>
            <w:tcW w:w="2129" w:type="dxa"/>
            <w:vMerge w:val="restart"/>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检验方法</w:t>
            </w:r>
          </w:p>
        </w:tc>
        <w:tc>
          <w:tcPr>
            <w:tcW w:w="1704" w:type="dxa"/>
            <w:gridSpan w:val="2"/>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重要程度分类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594" w:type="dxa"/>
            <w:vMerge w:val="continue"/>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c>
          <w:tcPr>
            <w:tcW w:w="2962" w:type="dxa"/>
            <w:gridSpan w:val="2"/>
            <w:vMerge w:val="continue"/>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c>
          <w:tcPr>
            <w:tcW w:w="1538" w:type="dxa"/>
            <w:vMerge w:val="continue"/>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c>
          <w:tcPr>
            <w:tcW w:w="2129" w:type="dxa"/>
            <w:vMerge w:val="continue"/>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c>
          <w:tcPr>
            <w:tcW w:w="931"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A类</w:t>
            </w:r>
          </w:p>
        </w:tc>
        <w:tc>
          <w:tcPr>
            <w:tcW w:w="773"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B类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594"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1</w:t>
            </w:r>
          </w:p>
        </w:tc>
        <w:tc>
          <w:tcPr>
            <w:tcW w:w="2962" w:type="dxa"/>
            <w:gridSpan w:val="2"/>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尿素含量（质量分数）/%</w:t>
            </w:r>
          </w:p>
        </w:tc>
        <w:tc>
          <w:tcPr>
            <w:tcW w:w="1538" w:type="dxa"/>
            <w:vMerge w:val="restart"/>
            <w:tcBorders>
              <w:top w:val="single" w:color="000000" w:sz="6" w:space="0"/>
              <w:left w:val="single" w:color="000000" w:sz="6" w:space="0"/>
              <w:right w:val="single" w:color="000000" w:sz="6" w:space="0"/>
            </w:tcBorders>
            <w:vAlign w:val="center"/>
          </w:tcPr>
          <w:p>
            <w:pPr>
              <w:spacing w:line="276" w:lineRule="auto"/>
              <w:rPr>
                <w:rFonts w:hint="eastAsia" w:ascii="仿宋_GB2312" w:hAnsi="仿宋" w:eastAsia="仿宋_GB2312" w:cs="Arial"/>
                <w:szCs w:val="21"/>
              </w:rPr>
            </w:pPr>
            <w:r>
              <w:rPr>
                <w:rFonts w:hint="eastAsia" w:ascii="仿宋_GB2312" w:hAnsi="仿宋" w:eastAsia="仿宋_GB2312" w:cs="Arial"/>
                <w:szCs w:val="21"/>
              </w:rPr>
              <w:t>GB29518-2013</w:t>
            </w:r>
          </w:p>
        </w:tc>
        <w:tc>
          <w:tcPr>
            <w:tcW w:w="2129" w:type="dxa"/>
            <w:tcBorders>
              <w:top w:val="single" w:color="000000" w:sz="6" w:space="0"/>
              <w:left w:val="single" w:color="000000" w:sz="6" w:space="0"/>
              <w:bottom w:val="single" w:color="000000" w:sz="6" w:space="0"/>
              <w:right w:val="single" w:color="000000" w:sz="6" w:space="0"/>
            </w:tcBorders>
            <w:vAlign w:val="center"/>
          </w:tcPr>
          <w:p>
            <w:pPr>
              <w:adjustRightInd w:val="0"/>
              <w:spacing w:line="276" w:lineRule="auto"/>
              <w:jc w:val="center"/>
              <w:rPr>
                <w:rFonts w:hint="eastAsia" w:ascii="仿宋_GB2312" w:hAnsi="仿宋" w:eastAsia="仿宋_GB2312" w:cs="Arial"/>
                <w:szCs w:val="21"/>
              </w:rPr>
            </w:pPr>
            <w:r>
              <w:rPr>
                <w:rFonts w:hint="eastAsia" w:ascii="仿宋_GB2312" w:hAnsi="仿宋" w:eastAsia="仿宋_GB2312" w:cs="Arial"/>
                <w:szCs w:val="21"/>
              </w:rPr>
              <w:t>GB 29518-2013附录A</w:t>
            </w:r>
          </w:p>
        </w:tc>
        <w:tc>
          <w:tcPr>
            <w:tcW w:w="931"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w:t>
            </w:r>
          </w:p>
        </w:tc>
        <w:tc>
          <w:tcPr>
            <w:tcW w:w="773"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594"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2</w:t>
            </w:r>
          </w:p>
        </w:tc>
        <w:tc>
          <w:tcPr>
            <w:tcW w:w="2962" w:type="dxa"/>
            <w:gridSpan w:val="2"/>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密度（20℃）/（kg/m</w:t>
            </w:r>
            <w:r>
              <w:rPr>
                <w:rFonts w:hint="eastAsia" w:ascii="仿宋_GB2312" w:hAnsi="仿宋" w:eastAsia="仿宋_GB2312" w:cs="Arial"/>
                <w:szCs w:val="21"/>
                <w:vertAlign w:val="superscript"/>
              </w:rPr>
              <w:t>3</w:t>
            </w:r>
            <w:r>
              <w:rPr>
                <w:rFonts w:hint="eastAsia" w:ascii="仿宋_GB2312" w:hAnsi="仿宋" w:eastAsia="仿宋_GB2312" w:cs="Arial"/>
                <w:szCs w:val="21"/>
              </w:rPr>
              <w:t>）</w:t>
            </w:r>
          </w:p>
        </w:tc>
        <w:tc>
          <w:tcPr>
            <w:tcW w:w="1538" w:type="dxa"/>
            <w:vMerge w:val="continue"/>
            <w:tcBorders>
              <w:left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c>
          <w:tcPr>
            <w:tcW w:w="2129" w:type="dxa"/>
            <w:tcBorders>
              <w:top w:val="single" w:color="000000" w:sz="6" w:space="0"/>
              <w:left w:val="single" w:color="000000" w:sz="6" w:space="0"/>
              <w:bottom w:val="single" w:color="000000" w:sz="6" w:space="0"/>
              <w:right w:val="single" w:color="000000" w:sz="6" w:space="0"/>
            </w:tcBorders>
            <w:vAlign w:val="center"/>
          </w:tcPr>
          <w:p>
            <w:pPr>
              <w:adjustRightInd w:val="0"/>
              <w:spacing w:line="276" w:lineRule="auto"/>
              <w:jc w:val="center"/>
              <w:rPr>
                <w:rFonts w:hint="eastAsia" w:ascii="仿宋_GB2312" w:hAnsi="仿宋" w:eastAsia="仿宋_GB2312" w:cs="Arial"/>
                <w:szCs w:val="21"/>
              </w:rPr>
            </w:pPr>
            <w:r>
              <w:rPr>
                <w:rFonts w:hint="eastAsia" w:ascii="仿宋_GB2312" w:hAnsi="仿宋" w:eastAsia="仿宋_GB2312" w:cs="Arial"/>
                <w:szCs w:val="21"/>
              </w:rPr>
              <w:t>SH/T 0604</w:t>
            </w:r>
          </w:p>
        </w:tc>
        <w:tc>
          <w:tcPr>
            <w:tcW w:w="931"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c>
          <w:tcPr>
            <w:tcW w:w="773"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594"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3</w:t>
            </w:r>
          </w:p>
        </w:tc>
        <w:tc>
          <w:tcPr>
            <w:tcW w:w="2962" w:type="dxa"/>
            <w:gridSpan w:val="2"/>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折光率</w:t>
            </w:r>
            <w:r>
              <w:rPr>
                <w:rFonts w:hint="eastAsia" w:ascii="仿宋_GB2312" w:hAnsi="仿宋" w:eastAsia="仿宋_GB2312" w:cs="Arial"/>
                <w:szCs w:val="21"/>
              </w:rPr>
              <w:object>
                <v:shape id="_x0000_i1025" o:spt="75" type="#_x0000_t75" style="height:18.4pt;width:24.3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p>
        </w:tc>
        <w:tc>
          <w:tcPr>
            <w:tcW w:w="1538" w:type="dxa"/>
            <w:vMerge w:val="continue"/>
            <w:tcBorders>
              <w:left w:val="single" w:color="000000" w:sz="6" w:space="0"/>
              <w:right w:val="single" w:color="000000" w:sz="6" w:space="0"/>
            </w:tcBorders>
            <w:vAlign w:val="center"/>
          </w:tcPr>
          <w:p>
            <w:pPr>
              <w:tabs>
                <w:tab w:val="left" w:pos="2002"/>
              </w:tabs>
              <w:spacing w:line="276" w:lineRule="auto"/>
              <w:ind w:left="-42" w:leftChars="-20"/>
              <w:jc w:val="center"/>
              <w:rPr>
                <w:rFonts w:hint="eastAsia" w:ascii="仿宋_GB2312" w:hAnsi="仿宋" w:eastAsia="仿宋_GB2312" w:cs="Arial"/>
                <w:szCs w:val="21"/>
              </w:rPr>
            </w:pPr>
          </w:p>
        </w:tc>
        <w:tc>
          <w:tcPr>
            <w:tcW w:w="2129" w:type="dxa"/>
            <w:tcBorders>
              <w:top w:val="single" w:color="000000" w:sz="6" w:space="0"/>
              <w:left w:val="single" w:color="000000" w:sz="6" w:space="0"/>
              <w:bottom w:val="single" w:color="000000" w:sz="6" w:space="0"/>
              <w:right w:val="single" w:color="000000" w:sz="6" w:space="0"/>
            </w:tcBorders>
            <w:vAlign w:val="center"/>
          </w:tcPr>
          <w:p>
            <w:pPr>
              <w:adjustRightInd w:val="0"/>
              <w:spacing w:line="276" w:lineRule="auto"/>
              <w:jc w:val="center"/>
              <w:rPr>
                <w:rFonts w:hint="eastAsia" w:ascii="仿宋_GB2312" w:hAnsi="仿宋" w:eastAsia="仿宋_GB2312" w:cs="Arial"/>
                <w:szCs w:val="21"/>
              </w:rPr>
            </w:pPr>
            <w:r>
              <w:rPr>
                <w:rFonts w:hint="eastAsia" w:ascii="仿宋_GB2312" w:hAnsi="仿宋" w:eastAsia="仿宋_GB2312" w:cs="Arial"/>
                <w:szCs w:val="21"/>
              </w:rPr>
              <w:t>GB/T 614</w:t>
            </w:r>
          </w:p>
        </w:tc>
        <w:tc>
          <w:tcPr>
            <w:tcW w:w="931"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c>
          <w:tcPr>
            <w:tcW w:w="773"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594" w:type="dxa"/>
            <w:vMerge w:val="restart"/>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4</w:t>
            </w:r>
          </w:p>
        </w:tc>
        <w:tc>
          <w:tcPr>
            <w:tcW w:w="720" w:type="dxa"/>
            <w:vMerge w:val="restart"/>
            <w:tcBorders>
              <w:top w:val="single" w:color="000000" w:sz="6" w:space="0"/>
              <w:left w:val="single" w:color="000000" w:sz="6" w:space="0"/>
              <w:right w:val="single" w:color="auto" w:sz="4"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杂质含量</w:t>
            </w:r>
          </w:p>
        </w:tc>
        <w:tc>
          <w:tcPr>
            <w:tcW w:w="2242" w:type="dxa"/>
            <w:tcBorders>
              <w:top w:val="single" w:color="000000" w:sz="6" w:space="0"/>
              <w:left w:val="single" w:color="auto" w:sz="4"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碱度（以NH3计）（质量分数）/%</w:t>
            </w:r>
          </w:p>
        </w:tc>
        <w:tc>
          <w:tcPr>
            <w:tcW w:w="1538" w:type="dxa"/>
            <w:vMerge w:val="continue"/>
            <w:tcBorders>
              <w:left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c>
          <w:tcPr>
            <w:tcW w:w="2129" w:type="dxa"/>
            <w:tcBorders>
              <w:top w:val="single" w:color="000000" w:sz="6" w:space="0"/>
              <w:left w:val="single" w:color="000000" w:sz="6" w:space="0"/>
              <w:bottom w:val="single" w:color="000000" w:sz="6" w:space="0"/>
              <w:right w:val="single" w:color="000000" w:sz="6" w:space="0"/>
            </w:tcBorders>
            <w:vAlign w:val="center"/>
          </w:tcPr>
          <w:p>
            <w:pPr>
              <w:adjustRightInd w:val="0"/>
              <w:spacing w:line="276" w:lineRule="auto"/>
              <w:jc w:val="center"/>
              <w:rPr>
                <w:rFonts w:hint="eastAsia" w:ascii="仿宋_GB2312" w:hAnsi="仿宋" w:eastAsia="仿宋_GB2312" w:cs="Arial"/>
                <w:szCs w:val="21"/>
              </w:rPr>
            </w:pPr>
            <w:r>
              <w:rPr>
                <w:rFonts w:hint="eastAsia" w:ascii="仿宋_GB2312" w:hAnsi="仿宋" w:eastAsia="仿宋_GB2312" w:cs="Arial"/>
                <w:szCs w:val="21"/>
              </w:rPr>
              <w:t>GB 29518-2013附录B</w:t>
            </w:r>
          </w:p>
        </w:tc>
        <w:tc>
          <w:tcPr>
            <w:tcW w:w="931"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w:t>
            </w:r>
          </w:p>
        </w:tc>
        <w:tc>
          <w:tcPr>
            <w:tcW w:w="773"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594" w:type="dxa"/>
            <w:vMerge w:val="continue"/>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c>
          <w:tcPr>
            <w:tcW w:w="720" w:type="dxa"/>
            <w:vMerge w:val="continue"/>
            <w:tcBorders>
              <w:left w:val="single" w:color="000000" w:sz="6" w:space="0"/>
              <w:right w:val="single" w:color="auto" w:sz="4" w:space="0"/>
            </w:tcBorders>
            <w:vAlign w:val="center"/>
          </w:tcPr>
          <w:p>
            <w:pPr>
              <w:spacing w:line="276" w:lineRule="auto"/>
              <w:jc w:val="center"/>
              <w:rPr>
                <w:rFonts w:hint="eastAsia" w:ascii="仿宋_GB2312" w:hAnsi="仿宋" w:eastAsia="仿宋_GB2312" w:cs="Arial"/>
                <w:szCs w:val="21"/>
              </w:rPr>
            </w:pPr>
          </w:p>
        </w:tc>
        <w:tc>
          <w:tcPr>
            <w:tcW w:w="2242" w:type="dxa"/>
            <w:tcBorders>
              <w:top w:val="single" w:color="000000" w:sz="6" w:space="0"/>
              <w:left w:val="single" w:color="auto" w:sz="4"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缩二脲（质量分数）/%</w:t>
            </w:r>
          </w:p>
        </w:tc>
        <w:tc>
          <w:tcPr>
            <w:tcW w:w="1538" w:type="dxa"/>
            <w:vMerge w:val="continue"/>
            <w:tcBorders>
              <w:left w:val="single" w:color="000000" w:sz="6" w:space="0"/>
              <w:right w:val="single" w:color="000000" w:sz="6" w:space="0"/>
            </w:tcBorders>
            <w:vAlign w:val="center"/>
          </w:tcPr>
          <w:p>
            <w:pPr>
              <w:tabs>
                <w:tab w:val="left" w:pos="2002"/>
              </w:tabs>
              <w:spacing w:line="276" w:lineRule="auto"/>
              <w:ind w:left="-42" w:leftChars="-20"/>
              <w:jc w:val="center"/>
              <w:rPr>
                <w:rFonts w:hint="eastAsia" w:ascii="仿宋_GB2312" w:hAnsi="仿宋" w:eastAsia="仿宋_GB2312" w:cs="Arial"/>
                <w:szCs w:val="21"/>
              </w:rPr>
            </w:pPr>
          </w:p>
        </w:tc>
        <w:tc>
          <w:tcPr>
            <w:tcW w:w="2129" w:type="dxa"/>
            <w:tcBorders>
              <w:top w:val="single" w:color="000000" w:sz="6" w:space="0"/>
              <w:left w:val="single" w:color="000000" w:sz="6" w:space="0"/>
              <w:bottom w:val="single" w:color="000000" w:sz="6" w:space="0"/>
              <w:right w:val="single" w:color="000000" w:sz="6" w:space="0"/>
            </w:tcBorders>
            <w:vAlign w:val="center"/>
          </w:tcPr>
          <w:p>
            <w:pPr>
              <w:adjustRightInd w:val="0"/>
              <w:spacing w:line="276" w:lineRule="auto"/>
              <w:jc w:val="center"/>
              <w:rPr>
                <w:rFonts w:hint="eastAsia" w:ascii="仿宋_GB2312" w:hAnsi="仿宋" w:eastAsia="仿宋_GB2312" w:cs="Arial"/>
                <w:szCs w:val="21"/>
              </w:rPr>
            </w:pPr>
            <w:r>
              <w:rPr>
                <w:rFonts w:hint="eastAsia" w:ascii="仿宋_GB2312" w:hAnsi="仿宋" w:eastAsia="仿宋_GB2312" w:cs="Arial"/>
                <w:szCs w:val="21"/>
              </w:rPr>
              <w:t>GB 29518-2013附录C</w:t>
            </w:r>
          </w:p>
        </w:tc>
        <w:tc>
          <w:tcPr>
            <w:tcW w:w="931"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w:t>
            </w:r>
          </w:p>
        </w:tc>
        <w:tc>
          <w:tcPr>
            <w:tcW w:w="773"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594" w:type="dxa"/>
            <w:vMerge w:val="continue"/>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c>
          <w:tcPr>
            <w:tcW w:w="720" w:type="dxa"/>
            <w:vMerge w:val="continue"/>
            <w:tcBorders>
              <w:left w:val="single" w:color="000000" w:sz="6" w:space="0"/>
              <w:right w:val="single" w:color="auto" w:sz="4" w:space="0"/>
            </w:tcBorders>
            <w:vAlign w:val="center"/>
          </w:tcPr>
          <w:p>
            <w:pPr>
              <w:spacing w:line="276" w:lineRule="auto"/>
              <w:jc w:val="center"/>
              <w:rPr>
                <w:rFonts w:hint="eastAsia" w:ascii="仿宋_GB2312" w:hAnsi="仿宋" w:eastAsia="仿宋_GB2312" w:cs="Arial"/>
                <w:szCs w:val="21"/>
              </w:rPr>
            </w:pPr>
          </w:p>
        </w:tc>
        <w:tc>
          <w:tcPr>
            <w:tcW w:w="2242" w:type="dxa"/>
            <w:tcBorders>
              <w:top w:val="single" w:color="000000" w:sz="6" w:space="0"/>
              <w:left w:val="single" w:color="auto" w:sz="4"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醛类（以HCHO计）/（mg/kg）</w:t>
            </w:r>
          </w:p>
        </w:tc>
        <w:tc>
          <w:tcPr>
            <w:tcW w:w="1538" w:type="dxa"/>
            <w:vMerge w:val="continue"/>
            <w:tcBorders>
              <w:left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c>
          <w:tcPr>
            <w:tcW w:w="2129" w:type="dxa"/>
            <w:tcBorders>
              <w:top w:val="single" w:color="000000" w:sz="6" w:space="0"/>
              <w:left w:val="single" w:color="000000" w:sz="6" w:space="0"/>
              <w:bottom w:val="single" w:color="000000" w:sz="6" w:space="0"/>
              <w:right w:val="single" w:color="000000" w:sz="6" w:space="0"/>
            </w:tcBorders>
            <w:vAlign w:val="center"/>
          </w:tcPr>
          <w:p>
            <w:pPr>
              <w:adjustRightInd w:val="0"/>
              <w:spacing w:line="276" w:lineRule="auto"/>
              <w:jc w:val="center"/>
              <w:rPr>
                <w:rFonts w:hint="eastAsia" w:ascii="仿宋_GB2312" w:hAnsi="仿宋" w:eastAsia="仿宋_GB2312" w:cs="Arial"/>
                <w:szCs w:val="21"/>
              </w:rPr>
            </w:pPr>
            <w:r>
              <w:rPr>
                <w:rFonts w:hint="eastAsia" w:ascii="仿宋_GB2312" w:hAnsi="仿宋" w:eastAsia="仿宋_GB2312" w:cs="Arial"/>
                <w:szCs w:val="21"/>
              </w:rPr>
              <w:t>GB 29518-2013附录D</w:t>
            </w:r>
          </w:p>
        </w:tc>
        <w:tc>
          <w:tcPr>
            <w:tcW w:w="931"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w:t>
            </w:r>
          </w:p>
        </w:tc>
        <w:tc>
          <w:tcPr>
            <w:tcW w:w="773"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594" w:type="dxa"/>
            <w:vMerge w:val="continue"/>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c>
          <w:tcPr>
            <w:tcW w:w="720" w:type="dxa"/>
            <w:vMerge w:val="continue"/>
            <w:tcBorders>
              <w:left w:val="single" w:color="000000" w:sz="6" w:space="0"/>
              <w:right w:val="single" w:color="auto" w:sz="4" w:space="0"/>
            </w:tcBorders>
            <w:vAlign w:val="center"/>
          </w:tcPr>
          <w:p>
            <w:pPr>
              <w:spacing w:line="276" w:lineRule="auto"/>
              <w:jc w:val="center"/>
              <w:rPr>
                <w:rFonts w:hint="eastAsia" w:ascii="仿宋_GB2312" w:hAnsi="仿宋" w:eastAsia="仿宋_GB2312" w:cs="Arial"/>
                <w:szCs w:val="21"/>
              </w:rPr>
            </w:pPr>
          </w:p>
        </w:tc>
        <w:tc>
          <w:tcPr>
            <w:tcW w:w="2242" w:type="dxa"/>
            <w:tcBorders>
              <w:top w:val="single" w:color="000000" w:sz="6" w:space="0"/>
              <w:left w:val="single" w:color="auto" w:sz="4"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不溶物/（mg/kg）</w:t>
            </w:r>
          </w:p>
        </w:tc>
        <w:tc>
          <w:tcPr>
            <w:tcW w:w="1538" w:type="dxa"/>
            <w:vMerge w:val="continue"/>
            <w:tcBorders>
              <w:left w:val="single" w:color="000000" w:sz="6" w:space="0"/>
              <w:right w:val="single" w:color="000000" w:sz="6" w:space="0"/>
            </w:tcBorders>
            <w:vAlign w:val="center"/>
          </w:tcPr>
          <w:p>
            <w:pPr>
              <w:tabs>
                <w:tab w:val="left" w:pos="2002"/>
              </w:tabs>
              <w:spacing w:line="276" w:lineRule="auto"/>
              <w:ind w:left="-42" w:leftChars="-20"/>
              <w:jc w:val="center"/>
              <w:rPr>
                <w:rFonts w:hint="eastAsia" w:ascii="仿宋_GB2312" w:hAnsi="仿宋" w:eastAsia="仿宋_GB2312" w:cs="Arial"/>
                <w:szCs w:val="21"/>
              </w:rPr>
            </w:pPr>
          </w:p>
        </w:tc>
        <w:tc>
          <w:tcPr>
            <w:tcW w:w="2129" w:type="dxa"/>
            <w:tcBorders>
              <w:top w:val="single" w:color="000000" w:sz="6" w:space="0"/>
              <w:left w:val="single" w:color="000000" w:sz="6" w:space="0"/>
              <w:bottom w:val="single" w:color="000000" w:sz="6" w:space="0"/>
              <w:right w:val="single" w:color="000000" w:sz="6" w:space="0"/>
            </w:tcBorders>
            <w:vAlign w:val="center"/>
          </w:tcPr>
          <w:p>
            <w:pPr>
              <w:adjustRightInd w:val="0"/>
              <w:spacing w:line="276" w:lineRule="auto"/>
              <w:jc w:val="center"/>
              <w:rPr>
                <w:rFonts w:hint="eastAsia" w:ascii="仿宋_GB2312" w:hAnsi="仿宋" w:eastAsia="仿宋_GB2312" w:cs="Arial"/>
                <w:szCs w:val="21"/>
              </w:rPr>
            </w:pPr>
            <w:r>
              <w:rPr>
                <w:rFonts w:hint="eastAsia" w:ascii="仿宋_GB2312" w:hAnsi="仿宋" w:eastAsia="仿宋_GB2312" w:cs="Arial"/>
                <w:szCs w:val="21"/>
              </w:rPr>
              <w:t>GB 29518-2013附录E</w:t>
            </w:r>
          </w:p>
        </w:tc>
        <w:tc>
          <w:tcPr>
            <w:tcW w:w="931"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w:t>
            </w:r>
          </w:p>
        </w:tc>
        <w:tc>
          <w:tcPr>
            <w:tcW w:w="773"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594" w:type="dxa"/>
            <w:vMerge w:val="continue"/>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c>
          <w:tcPr>
            <w:tcW w:w="720" w:type="dxa"/>
            <w:vMerge w:val="continue"/>
            <w:tcBorders>
              <w:left w:val="single" w:color="000000" w:sz="6" w:space="0"/>
              <w:right w:val="single" w:color="auto" w:sz="4" w:space="0"/>
            </w:tcBorders>
            <w:vAlign w:val="center"/>
          </w:tcPr>
          <w:p>
            <w:pPr>
              <w:spacing w:line="276" w:lineRule="auto"/>
              <w:jc w:val="center"/>
              <w:rPr>
                <w:rFonts w:hint="eastAsia" w:ascii="仿宋_GB2312" w:hAnsi="仿宋" w:eastAsia="仿宋_GB2312" w:cs="Arial"/>
                <w:szCs w:val="21"/>
              </w:rPr>
            </w:pPr>
          </w:p>
        </w:tc>
        <w:tc>
          <w:tcPr>
            <w:tcW w:w="2242" w:type="dxa"/>
            <w:tcBorders>
              <w:top w:val="single" w:color="000000" w:sz="6" w:space="0"/>
              <w:left w:val="single" w:color="auto" w:sz="4"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钙/（mg/kg）</w:t>
            </w:r>
          </w:p>
        </w:tc>
        <w:tc>
          <w:tcPr>
            <w:tcW w:w="1538" w:type="dxa"/>
            <w:vMerge w:val="continue"/>
            <w:tcBorders>
              <w:left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c>
          <w:tcPr>
            <w:tcW w:w="2129" w:type="dxa"/>
            <w:vMerge w:val="restart"/>
            <w:tcBorders>
              <w:top w:val="single" w:color="000000" w:sz="6" w:space="0"/>
              <w:left w:val="single" w:color="000000" w:sz="6" w:space="0"/>
              <w:bottom w:val="single" w:color="000000" w:sz="6" w:space="0"/>
              <w:right w:val="single" w:color="000000" w:sz="6" w:space="0"/>
            </w:tcBorders>
            <w:vAlign w:val="center"/>
          </w:tcPr>
          <w:p>
            <w:pPr>
              <w:adjustRightInd w:val="0"/>
              <w:spacing w:line="276" w:lineRule="auto"/>
              <w:jc w:val="center"/>
              <w:rPr>
                <w:rFonts w:hint="eastAsia" w:ascii="仿宋_GB2312" w:hAnsi="仿宋" w:eastAsia="仿宋_GB2312" w:cs="Arial"/>
                <w:szCs w:val="21"/>
              </w:rPr>
            </w:pPr>
            <w:r>
              <w:rPr>
                <w:rFonts w:hint="eastAsia" w:ascii="仿宋_GB2312" w:hAnsi="仿宋" w:eastAsia="仿宋_GB2312" w:cs="Arial"/>
                <w:szCs w:val="21"/>
              </w:rPr>
              <w:t>GB 29518-2013附录G</w:t>
            </w:r>
          </w:p>
        </w:tc>
        <w:tc>
          <w:tcPr>
            <w:tcW w:w="931"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w:t>
            </w:r>
          </w:p>
        </w:tc>
        <w:tc>
          <w:tcPr>
            <w:tcW w:w="773" w:type="dxa"/>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594" w:type="dxa"/>
            <w:vMerge w:val="continue"/>
            <w:tcBorders>
              <w:top w:val="single" w:color="000000" w:sz="6" w:space="0"/>
              <w:left w:val="single" w:color="000000" w:sz="6"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p>
        </w:tc>
        <w:tc>
          <w:tcPr>
            <w:tcW w:w="720" w:type="dxa"/>
            <w:vMerge w:val="continue"/>
            <w:tcBorders>
              <w:left w:val="single" w:color="000000" w:sz="6" w:space="0"/>
              <w:right w:val="single" w:color="auto" w:sz="4" w:space="0"/>
            </w:tcBorders>
            <w:vAlign w:val="center"/>
          </w:tcPr>
          <w:p>
            <w:pPr>
              <w:spacing w:line="276" w:lineRule="auto"/>
              <w:jc w:val="center"/>
              <w:rPr>
                <w:rFonts w:hint="eastAsia" w:ascii="仿宋_GB2312" w:hAnsi="仿宋" w:eastAsia="仿宋_GB2312" w:cs="Arial"/>
                <w:szCs w:val="21"/>
              </w:rPr>
            </w:pPr>
          </w:p>
        </w:tc>
        <w:tc>
          <w:tcPr>
            <w:tcW w:w="2242" w:type="dxa"/>
            <w:tcBorders>
              <w:top w:val="single" w:color="000000" w:sz="6" w:space="0"/>
              <w:left w:val="single" w:color="auto" w:sz="4" w:space="0"/>
              <w:bottom w:val="single" w:color="000000" w:sz="6" w:space="0"/>
              <w:right w:val="single" w:color="000000" w:sz="6" w:space="0"/>
            </w:tcBorders>
            <w:vAlign w:val="center"/>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镍/（mg/kg）</w:t>
            </w:r>
          </w:p>
        </w:tc>
        <w:tc>
          <w:tcPr>
            <w:tcW w:w="1538" w:type="dxa"/>
            <w:vMerge w:val="continue"/>
            <w:tcBorders>
              <w:left w:val="single" w:color="000000" w:sz="6" w:space="0"/>
              <w:right w:val="single" w:color="000000" w:sz="6" w:space="0"/>
            </w:tcBorders>
            <w:vAlign w:val="center"/>
          </w:tcPr>
          <w:p>
            <w:pPr>
              <w:tabs>
                <w:tab w:val="left" w:pos="2002"/>
              </w:tabs>
              <w:spacing w:line="276" w:lineRule="auto"/>
              <w:ind w:left="-42" w:leftChars="-20"/>
              <w:jc w:val="center"/>
              <w:rPr>
                <w:rFonts w:hint="eastAsia" w:ascii="仿宋_GB2312" w:hAnsi="仿宋" w:eastAsia="仿宋_GB2312" w:cs="Arial"/>
                <w:szCs w:val="21"/>
              </w:rPr>
            </w:pPr>
          </w:p>
        </w:tc>
        <w:tc>
          <w:tcPr>
            <w:tcW w:w="2129" w:type="dxa"/>
            <w:vMerge w:val="continue"/>
            <w:tcBorders>
              <w:top w:val="single" w:color="000000" w:sz="6" w:space="0"/>
              <w:left w:val="single" w:color="000000" w:sz="6" w:space="0"/>
              <w:bottom w:val="single" w:color="000000" w:sz="6" w:space="0"/>
              <w:right w:val="single" w:color="000000" w:sz="6" w:space="0"/>
            </w:tcBorders>
            <w:vAlign w:val="center"/>
          </w:tcPr>
          <w:p>
            <w:pPr>
              <w:tabs>
                <w:tab w:val="left" w:pos="2002"/>
              </w:tabs>
              <w:spacing w:line="276" w:lineRule="auto"/>
              <w:ind w:left="-42" w:leftChars="-20"/>
              <w:jc w:val="center"/>
              <w:rPr>
                <w:rFonts w:hint="eastAsia" w:ascii="仿宋_GB2312" w:hAnsi="仿宋" w:eastAsia="仿宋_GB2312" w:cs="Arial"/>
                <w:szCs w:val="21"/>
              </w:rPr>
            </w:pPr>
          </w:p>
        </w:tc>
        <w:tc>
          <w:tcPr>
            <w:tcW w:w="931" w:type="dxa"/>
            <w:tcBorders>
              <w:top w:val="single" w:color="000000" w:sz="6" w:space="0"/>
              <w:left w:val="single" w:color="000000" w:sz="6" w:space="0"/>
              <w:bottom w:val="single" w:color="000000" w:sz="6" w:space="0"/>
              <w:right w:val="single" w:color="000000" w:sz="6" w:space="0"/>
            </w:tcBorders>
          </w:tcPr>
          <w:p>
            <w:pPr>
              <w:spacing w:line="276" w:lineRule="auto"/>
              <w:jc w:val="center"/>
              <w:rPr>
                <w:rFonts w:hint="eastAsia" w:ascii="仿宋_GB2312" w:hAnsi="仿宋" w:eastAsia="仿宋_GB2312" w:cs="Arial"/>
                <w:szCs w:val="21"/>
              </w:rPr>
            </w:pPr>
            <w:r>
              <w:rPr>
                <w:rFonts w:hint="eastAsia" w:ascii="仿宋_GB2312" w:hAnsi="仿宋" w:eastAsia="仿宋_GB2312" w:cs="Arial"/>
                <w:szCs w:val="21"/>
              </w:rPr>
              <w:t>●</w:t>
            </w:r>
          </w:p>
        </w:tc>
        <w:tc>
          <w:tcPr>
            <w:tcW w:w="773" w:type="dxa"/>
            <w:tcBorders>
              <w:top w:val="single" w:color="000000" w:sz="6" w:space="0"/>
              <w:left w:val="single" w:color="000000" w:sz="6" w:space="0"/>
              <w:bottom w:val="single" w:color="000000" w:sz="6" w:space="0"/>
              <w:right w:val="single" w:color="000000" w:sz="6" w:space="0"/>
            </w:tcBorders>
          </w:tcPr>
          <w:p>
            <w:pPr>
              <w:spacing w:line="276" w:lineRule="auto"/>
              <w:jc w:val="center"/>
              <w:rPr>
                <w:rFonts w:hint="eastAsia" w:ascii="仿宋_GB2312" w:hAnsi="仿宋" w:eastAsia="仿宋_GB2312" w:cs="Arial"/>
                <w:szCs w:val="21"/>
              </w:rPr>
            </w:pPr>
          </w:p>
        </w:tc>
      </w:tr>
    </w:tbl>
    <w:p>
      <w:pPr>
        <w:spacing w:line="360" w:lineRule="auto"/>
        <w:rPr>
          <w:rFonts w:hint="eastAsia" w:ascii="仿宋_GB2312" w:hAnsi="仿宋" w:eastAsia="仿宋_GB2312" w:cs="仿宋_GB2312"/>
          <w:color w:val="000000"/>
          <w:szCs w:val="21"/>
        </w:rPr>
      </w:pPr>
      <w:r>
        <w:rPr>
          <w:rFonts w:hint="eastAsia" w:ascii="仿宋_GB2312" w:hAnsi="仿宋" w:eastAsia="仿宋_GB2312" w:cs="仿宋_GB2312"/>
          <w:color w:val="000000"/>
          <w:szCs w:val="21"/>
        </w:rPr>
        <w:t>注1：A类项目是指直接涉及人体健康、使用安全的指标；B类项目是指产品涉及环保、能效、关键性能或特征值的指标。</w:t>
      </w:r>
    </w:p>
    <w:p>
      <w:pPr>
        <w:spacing w:line="360" w:lineRule="auto"/>
        <w:rPr>
          <w:rFonts w:hint="eastAsia" w:ascii="仿宋_GB2312" w:hAnsi="仿宋" w:eastAsia="仿宋_GB2312" w:cs="仿宋_GB2312"/>
          <w:color w:val="000000"/>
          <w:szCs w:val="21"/>
        </w:rPr>
      </w:pPr>
      <w:r>
        <w:rPr>
          <w:rFonts w:hint="eastAsia" w:ascii="仿宋_GB2312" w:hAnsi="仿宋" w:eastAsia="仿宋_GB2312" w:cs="仿宋_GB2312"/>
          <w:color w:val="000000"/>
          <w:szCs w:val="21"/>
        </w:rPr>
        <w:t>注2：表中所列检验项目是有关法律法规、标准等规定的，重点涉及健康、安全、节能、环保以及消费者、有关组织反映有质量问题的重要项目。</w:t>
      </w:r>
    </w:p>
    <w:p>
      <w:pPr>
        <w:adjustRightInd w:val="0"/>
        <w:snapToGrid w:val="0"/>
        <w:spacing w:line="360" w:lineRule="auto"/>
        <w:ind w:firstLine="562" w:firstLineChars="200"/>
        <w:rPr>
          <w:rFonts w:ascii="仿宋_GB2312" w:eastAsia="仿宋_GB2312"/>
          <w:b/>
          <w:sz w:val="28"/>
          <w:szCs w:val="28"/>
        </w:rPr>
      </w:pPr>
      <w:r>
        <w:rPr>
          <w:rFonts w:hint="eastAsia" w:ascii="仿宋_GB2312" w:eastAsia="仿宋_GB2312"/>
          <w:b/>
          <w:sz w:val="28"/>
          <w:szCs w:val="28"/>
        </w:rPr>
        <w:t>6.2检验应注意的问题</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若被检产品明示的质量要求高于本规范中的检验项目依据的标准要求时，应按被检产品明示的质量要求判定。</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若被检产品明示的质量要求低于本规范中的检验项目依据的强制性标准要求时，应按强制性标准要求判定。</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若被检产品明示的质量要求低于或包含规范中检验项目依据的推荐性标准要求时，应以被检产品明示的质量要求判定。</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若被检产品明示的质量要求缺少本规范中检验项目依据的强制性标准要求时，应按照强制性标准要求判定。</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若被检产品明示的质量要求缺少本规范中检验项目依据的推荐性标准要求时，该项目不参与判定，但应在检验报告备注中进行说明。</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检验过程中遇到有样品失效或者其它情况致使检验无法进行时，必须如实记录即时情况，并有充分的证实材料。</w:t>
      </w:r>
    </w:p>
    <w:p>
      <w:pPr>
        <w:spacing w:line="360" w:lineRule="auto"/>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当一个检验项目有多个检测方法时，出现可疑结果或不合格结果（即在有异议）时，应以产品标准中规定方法的测定结果为准。</w:t>
      </w:r>
    </w:p>
    <w:p>
      <w:pPr>
        <w:adjustRightInd w:val="0"/>
        <w:snapToGrid w:val="0"/>
        <w:spacing w:line="360" w:lineRule="auto"/>
        <w:ind w:firstLine="562" w:firstLineChars="200"/>
        <w:rPr>
          <w:rFonts w:ascii="仿宋_GB2312" w:eastAsia="仿宋_GB2312"/>
          <w:b/>
          <w:sz w:val="28"/>
          <w:szCs w:val="28"/>
        </w:rPr>
      </w:pPr>
      <w:r>
        <w:rPr>
          <w:rFonts w:hint="eastAsia" w:ascii="仿宋_GB2312" w:eastAsia="仿宋_GB2312"/>
          <w:b/>
          <w:sz w:val="28"/>
          <w:szCs w:val="28"/>
        </w:rPr>
        <w:t>7判定原则</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7.1原则</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经检验,检验项目全部合格,判定为被抽查产品合格;检验项目中任一项或一项以上不合格,判定为被抽查产品不合格。</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7.2</w:t>
      </w:r>
      <w:r>
        <w:rPr>
          <w:rFonts w:ascii="仿宋_GB2312" w:eastAsia="仿宋_GB2312"/>
          <w:sz w:val="28"/>
          <w:szCs w:val="28"/>
        </w:rPr>
        <w:t>结论用语</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经抽样检验，所检项目符合**标准要求，依据《朝阳市2020年</w:t>
      </w:r>
      <w:r>
        <w:rPr>
          <w:rFonts w:hint="eastAsia" w:ascii="仿宋_GB2312" w:hAnsi="仿宋" w:eastAsia="仿宋_GB2312"/>
          <w:sz w:val="28"/>
          <w:szCs w:val="28"/>
        </w:rPr>
        <w:t>车用尿素水溶液</w:t>
      </w:r>
      <w:r>
        <w:rPr>
          <w:rFonts w:hint="eastAsia" w:ascii="仿宋_GB2312" w:eastAsia="仿宋_GB2312"/>
          <w:sz w:val="28"/>
          <w:szCs w:val="28"/>
        </w:rPr>
        <w:t>产品质量监督抽查实施细则》，判定为合格。</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经抽样检验，**项目不符合**标准要求，依据《朝阳市2020年</w:t>
      </w:r>
      <w:r>
        <w:rPr>
          <w:rFonts w:hint="eastAsia" w:ascii="仿宋_GB2312" w:hAnsi="仿宋" w:eastAsia="仿宋_GB2312"/>
          <w:sz w:val="28"/>
          <w:szCs w:val="28"/>
        </w:rPr>
        <w:t>车用尿素水溶液</w:t>
      </w:r>
      <w:r>
        <w:rPr>
          <w:rFonts w:hint="eastAsia" w:ascii="仿宋_GB2312" w:eastAsia="仿宋_GB2312"/>
          <w:sz w:val="28"/>
          <w:szCs w:val="28"/>
        </w:rPr>
        <w:t>产品质量监督抽查实施细则》，判定为不合格。</w:t>
      </w:r>
    </w:p>
    <w:p>
      <w:pPr>
        <w:adjustRightInd w:val="0"/>
        <w:snapToGrid w:val="0"/>
        <w:spacing w:line="360" w:lineRule="auto"/>
        <w:ind w:firstLine="562" w:firstLineChars="200"/>
        <w:rPr>
          <w:rFonts w:ascii="仿宋_GB2312" w:eastAsia="仿宋_GB2312"/>
          <w:b/>
          <w:sz w:val="28"/>
          <w:szCs w:val="28"/>
        </w:rPr>
      </w:pPr>
      <w:r>
        <w:rPr>
          <w:rFonts w:hint="eastAsia" w:ascii="仿宋_GB2312" w:eastAsia="仿宋_GB2312"/>
          <w:b/>
          <w:sz w:val="28"/>
          <w:szCs w:val="28"/>
        </w:rPr>
        <w:t>8异议处理</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对被判定为不合格企业进行异议处理时，按以下方式进行：</w:t>
      </w:r>
    </w:p>
    <w:p>
      <w:pPr>
        <w:spacing w:line="360" w:lineRule="auto"/>
        <w:rPr>
          <w:rFonts w:hint="eastAsia" w:ascii="仿宋_GB2312" w:hAnsi="仿宋" w:eastAsia="仿宋_GB2312"/>
          <w:sz w:val="28"/>
          <w:szCs w:val="28"/>
        </w:rPr>
      </w:pPr>
      <w:r>
        <w:rPr>
          <w:rFonts w:hint="eastAsia" w:ascii="仿宋_GB2312" w:hAnsi="仿宋" w:eastAsia="仿宋_GB2312"/>
          <w:sz w:val="28"/>
          <w:szCs w:val="28"/>
        </w:rPr>
        <w:t>8.1 核查不合格项目相关证据，能够以记录（纸质记录或电子记录或影像记录）或与不合格项目相关联的其它质量数据等检验证据证明。</w:t>
      </w:r>
    </w:p>
    <w:p>
      <w:pPr>
        <w:spacing w:line="360" w:lineRule="auto"/>
        <w:rPr>
          <w:rFonts w:hint="eastAsia" w:ascii="仿宋_GB2312" w:hAnsi="仿宋" w:eastAsia="仿宋_GB2312"/>
          <w:sz w:val="28"/>
          <w:szCs w:val="28"/>
        </w:rPr>
      </w:pPr>
      <w:r>
        <w:rPr>
          <w:rFonts w:hint="eastAsia" w:ascii="仿宋_GB2312" w:hAnsi="仿宋" w:eastAsia="仿宋_GB2312"/>
          <w:sz w:val="28"/>
          <w:szCs w:val="28"/>
        </w:rPr>
        <w:t>8.2对需要复检并具备检验条件的，处理企业异议的市场监督管理部门或者指定检验机构应当按原监督抽查方案对抽取的备用样品组织复检，复检项目如有仲裁法需用仲裁法进行复检，并出具检验报告。复检结论为最终结论。</w:t>
      </w:r>
    </w:p>
    <w:p>
      <w:pPr>
        <w:adjustRightInd w:val="0"/>
        <w:snapToGrid w:val="0"/>
        <w:spacing w:line="360" w:lineRule="auto"/>
        <w:ind w:firstLine="562" w:firstLineChars="200"/>
        <w:rPr>
          <w:rFonts w:ascii="仿宋_GB2312" w:eastAsia="仿宋_GB2312"/>
          <w:b/>
          <w:sz w:val="28"/>
          <w:szCs w:val="28"/>
        </w:rPr>
      </w:pPr>
      <w:r>
        <w:rPr>
          <w:rFonts w:hint="eastAsia" w:ascii="仿宋_GB2312" w:eastAsia="仿宋_GB2312"/>
          <w:b/>
          <w:sz w:val="28"/>
          <w:szCs w:val="28"/>
        </w:rPr>
        <w:t>9附则</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本细则编写单位:大连产品质量检验检测研究院有限公司</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本细则由朝阳市市场监督管理局</w:t>
      </w:r>
      <w:bookmarkStart w:id="0" w:name="_GoBack"/>
      <w:bookmarkEnd w:id="0"/>
      <w:r>
        <w:rPr>
          <w:rFonts w:hint="eastAsia" w:ascii="仿宋_GB2312"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书宋二">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79"/>
    <w:rsid w:val="000275CB"/>
    <w:rsid w:val="00030609"/>
    <w:rsid w:val="00035BD9"/>
    <w:rsid w:val="0005008D"/>
    <w:rsid w:val="00053EFC"/>
    <w:rsid w:val="000623B5"/>
    <w:rsid w:val="00067133"/>
    <w:rsid w:val="000675C9"/>
    <w:rsid w:val="000A7648"/>
    <w:rsid w:val="000C0E04"/>
    <w:rsid w:val="000C40CF"/>
    <w:rsid w:val="000D5961"/>
    <w:rsid w:val="000D7516"/>
    <w:rsid w:val="000E4826"/>
    <w:rsid w:val="000E6F4A"/>
    <w:rsid w:val="000F79E9"/>
    <w:rsid w:val="0010068D"/>
    <w:rsid w:val="00110E1C"/>
    <w:rsid w:val="001300B3"/>
    <w:rsid w:val="00130529"/>
    <w:rsid w:val="00173041"/>
    <w:rsid w:val="00196186"/>
    <w:rsid w:val="001A33E8"/>
    <w:rsid w:val="001A41CD"/>
    <w:rsid w:val="001B6E21"/>
    <w:rsid w:val="001C3D3A"/>
    <w:rsid w:val="001C3E50"/>
    <w:rsid w:val="001C6932"/>
    <w:rsid w:val="001D4CF7"/>
    <w:rsid w:val="001E1282"/>
    <w:rsid w:val="001F0B91"/>
    <w:rsid w:val="001F445B"/>
    <w:rsid w:val="001F4AE7"/>
    <w:rsid w:val="002052EC"/>
    <w:rsid w:val="002262BA"/>
    <w:rsid w:val="00231BD3"/>
    <w:rsid w:val="0023743B"/>
    <w:rsid w:val="00253E4C"/>
    <w:rsid w:val="00257606"/>
    <w:rsid w:val="00274761"/>
    <w:rsid w:val="00291754"/>
    <w:rsid w:val="002A252A"/>
    <w:rsid w:val="002B49FB"/>
    <w:rsid w:val="002B783E"/>
    <w:rsid w:val="002C3BAF"/>
    <w:rsid w:val="002D7818"/>
    <w:rsid w:val="002E15AE"/>
    <w:rsid w:val="002E70FD"/>
    <w:rsid w:val="002F564E"/>
    <w:rsid w:val="00300138"/>
    <w:rsid w:val="003076DF"/>
    <w:rsid w:val="00341A24"/>
    <w:rsid w:val="00352644"/>
    <w:rsid w:val="00362052"/>
    <w:rsid w:val="00373FB4"/>
    <w:rsid w:val="003740CB"/>
    <w:rsid w:val="003752E1"/>
    <w:rsid w:val="0037771F"/>
    <w:rsid w:val="003812B8"/>
    <w:rsid w:val="00387151"/>
    <w:rsid w:val="003901CA"/>
    <w:rsid w:val="00396E4A"/>
    <w:rsid w:val="00397AD9"/>
    <w:rsid w:val="003A773D"/>
    <w:rsid w:val="003A7780"/>
    <w:rsid w:val="00413A29"/>
    <w:rsid w:val="0041721D"/>
    <w:rsid w:val="00435B96"/>
    <w:rsid w:val="00442FDD"/>
    <w:rsid w:val="00452D50"/>
    <w:rsid w:val="004559EB"/>
    <w:rsid w:val="00467599"/>
    <w:rsid w:val="00467FC0"/>
    <w:rsid w:val="0048725B"/>
    <w:rsid w:val="004913C8"/>
    <w:rsid w:val="004C3517"/>
    <w:rsid w:val="004D363B"/>
    <w:rsid w:val="004E0A2B"/>
    <w:rsid w:val="004E6909"/>
    <w:rsid w:val="00500AA7"/>
    <w:rsid w:val="005017AC"/>
    <w:rsid w:val="00505435"/>
    <w:rsid w:val="00510793"/>
    <w:rsid w:val="00517D56"/>
    <w:rsid w:val="00522D22"/>
    <w:rsid w:val="005610FF"/>
    <w:rsid w:val="00561759"/>
    <w:rsid w:val="005850AF"/>
    <w:rsid w:val="00591CFA"/>
    <w:rsid w:val="005A6653"/>
    <w:rsid w:val="005B36DD"/>
    <w:rsid w:val="005B72A4"/>
    <w:rsid w:val="005C75A4"/>
    <w:rsid w:val="005D21DE"/>
    <w:rsid w:val="005D3495"/>
    <w:rsid w:val="00601AE5"/>
    <w:rsid w:val="00602785"/>
    <w:rsid w:val="00602822"/>
    <w:rsid w:val="006109C5"/>
    <w:rsid w:val="00617FD2"/>
    <w:rsid w:val="00642116"/>
    <w:rsid w:val="006627F7"/>
    <w:rsid w:val="00676455"/>
    <w:rsid w:val="00694E7B"/>
    <w:rsid w:val="006A7093"/>
    <w:rsid w:val="006B37B1"/>
    <w:rsid w:val="006C2F8A"/>
    <w:rsid w:val="006D44E0"/>
    <w:rsid w:val="006D67D2"/>
    <w:rsid w:val="006E49E5"/>
    <w:rsid w:val="007024A4"/>
    <w:rsid w:val="0071325A"/>
    <w:rsid w:val="00725A28"/>
    <w:rsid w:val="00732D48"/>
    <w:rsid w:val="007367FA"/>
    <w:rsid w:val="007425B8"/>
    <w:rsid w:val="007920FB"/>
    <w:rsid w:val="007C09B6"/>
    <w:rsid w:val="007D5970"/>
    <w:rsid w:val="00800E98"/>
    <w:rsid w:val="0083253B"/>
    <w:rsid w:val="008561AC"/>
    <w:rsid w:val="008741C9"/>
    <w:rsid w:val="008835A5"/>
    <w:rsid w:val="00891811"/>
    <w:rsid w:val="008B29A9"/>
    <w:rsid w:val="008C6985"/>
    <w:rsid w:val="008D45D3"/>
    <w:rsid w:val="008E3FA9"/>
    <w:rsid w:val="008F7A97"/>
    <w:rsid w:val="00907571"/>
    <w:rsid w:val="00935488"/>
    <w:rsid w:val="009741E2"/>
    <w:rsid w:val="00982937"/>
    <w:rsid w:val="00983FDB"/>
    <w:rsid w:val="00985542"/>
    <w:rsid w:val="009858BD"/>
    <w:rsid w:val="009A661A"/>
    <w:rsid w:val="009A7710"/>
    <w:rsid w:val="009B43FE"/>
    <w:rsid w:val="009B65CD"/>
    <w:rsid w:val="009C070A"/>
    <w:rsid w:val="009D045B"/>
    <w:rsid w:val="009D4E50"/>
    <w:rsid w:val="00A2703D"/>
    <w:rsid w:val="00A66407"/>
    <w:rsid w:val="00A74EBC"/>
    <w:rsid w:val="00A77D3B"/>
    <w:rsid w:val="00A80507"/>
    <w:rsid w:val="00A901BF"/>
    <w:rsid w:val="00A931F1"/>
    <w:rsid w:val="00AA1224"/>
    <w:rsid w:val="00AD41AD"/>
    <w:rsid w:val="00AE3359"/>
    <w:rsid w:val="00AE7967"/>
    <w:rsid w:val="00B03A40"/>
    <w:rsid w:val="00B043A5"/>
    <w:rsid w:val="00B20DCF"/>
    <w:rsid w:val="00B32679"/>
    <w:rsid w:val="00B40B39"/>
    <w:rsid w:val="00B57999"/>
    <w:rsid w:val="00B70C44"/>
    <w:rsid w:val="00B813C6"/>
    <w:rsid w:val="00B864DB"/>
    <w:rsid w:val="00BB3727"/>
    <w:rsid w:val="00BC5EBE"/>
    <w:rsid w:val="00BC7200"/>
    <w:rsid w:val="00BF2451"/>
    <w:rsid w:val="00BF34B5"/>
    <w:rsid w:val="00C00962"/>
    <w:rsid w:val="00C023B0"/>
    <w:rsid w:val="00C12F70"/>
    <w:rsid w:val="00C20748"/>
    <w:rsid w:val="00C46757"/>
    <w:rsid w:val="00C46F44"/>
    <w:rsid w:val="00C65730"/>
    <w:rsid w:val="00C73A76"/>
    <w:rsid w:val="00C80094"/>
    <w:rsid w:val="00C97B14"/>
    <w:rsid w:val="00CB00AD"/>
    <w:rsid w:val="00CB71B5"/>
    <w:rsid w:val="00CE6C9D"/>
    <w:rsid w:val="00CF0937"/>
    <w:rsid w:val="00D116EC"/>
    <w:rsid w:val="00D21591"/>
    <w:rsid w:val="00D4168A"/>
    <w:rsid w:val="00D430D9"/>
    <w:rsid w:val="00D5256A"/>
    <w:rsid w:val="00D5315E"/>
    <w:rsid w:val="00D67F81"/>
    <w:rsid w:val="00D71625"/>
    <w:rsid w:val="00D81AC6"/>
    <w:rsid w:val="00D82A59"/>
    <w:rsid w:val="00DA759A"/>
    <w:rsid w:val="00DB17A3"/>
    <w:rsid w:val="00DE75DC"/>
    <w:rsid w:val="00E0683A"/>
    <w:rsid w:val="00E15C3C"/>
    <w:rsid w:val="00E25CB8"/>
    <w:rsid w:val="00E4383B"/>
    <w:rsid w:val="00E57036"/>
    <w:rsid w:val="00E67A5D"/>
    <w:rsid w:val="00E704AC"/>
    <w:rsid w:val="00EB28BF"/>
    <w:rsid w:val="00EB705D"/>
    <w:rsid w:val="00EC5562"/>
    <w:rsid w:val="00EC5C1E"/>
    <w:rsid w:val="00EC6400"/>
    <w:rsid w:val="00EE0186"/>
    <w:rsid w:val="00EE2A13"/>
    <w:rsid w:val="00EE637B"/>
    <w:rsid w:val="00F04F3B"/>
    <w:rsid w:val="00F1539A"/>
    <w:rsid w:val="00F15A10"/>
    <w:rsid w:val="00F15D77"/>
    <w:rsid w:val="00F33E4B"/>
    <w:rsid w:val="00F35E82"/>
    <w:rsid w:val="00F502BD"/>
    <w:rsid w:val="00F653F4"/>
    <w:rsid w:val="00F6554B"/>
    <w:rsid w:val="00F67C53"/>
    <w:rsid w:val="00F7631B"/>
    <w:rsid w:val="00FA62AA"/>
    <w:rsid w:val="00FA7D8A"/>
    <w:rsid w:val="00FB0D1C"/>
    <w:rsid w:val="00FB483C"/>
    <w:rsid w:val="00FE0ADF"/>
    <w:rsid w:val="00FE0AEA"/>
    <w:rsid w:val="00FE26DE"/>
    <w:rsid w:val="00FF467B"/>
    <w:rsid w:val="193A2A51"/>
    <w:rsid w:val="3D9178CC"/>
    <w:rsid w:val="4D540A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9"/>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3"/>
    <w:semiHidden/>
    <w:uiPriority w:val="99"/>
    <w:rPr>
      <w:rFonts w:ascii="Calibri" w:hAnsi="Calibri" w:eastAsia="宋体" w:cs="Times New Roman"/>
      <w:sz w:val="18"/>
      <w:szCs w:val="18"/>
    </w:rPr>
  </w:style>
  <w:style w:type="paragraph" w:customStyle="1" w:styleId="10">
    <w:name w:val="肥料正文"/>
    <w:basedOn w:val="1"/>
    <w:qFormat/>
    <w:uiPriority w:val="0"/>
    <w:pPr>
      <w:adjustRightInd w:val="0"/>
      <w:snapToGrid w:val="0"/>
      <w:spacing w:line="316" w:lineRule="auto"/>
      <w:ind w:firstLine="200" w:firstLineChars="200"/>
    </w:pPr>
    <w:rPr>
      <w:rFonts w:ascii="Times New Roman" w:hAnsi="Times New Roman" w:eastAsia="汉鼎简书宋二"/>
      <w:spacing w:val="2"/>
      <w:kern w:val="0"/>
      <w:sz w:val="22"/>
      <w:szCs w:val="24"/>
    </w:rPr>
  </w:style>
  <w:style w:type="character" w:customStyle="1" w:styleId="11">
    <w:name w:val="页眉 Char"/>
    <w:basedOn w:val="8"/>
    <w:link w:val="5"/>
    <w:qFormat/>
    <w:uiPriority w:val="99"/>
    <w:rPr>
      <w:rFonts w:ascii="Calibri" w:hAnsi="Calibri" w:eastAsia="宋体" w:cs="Times New Roman"/>
      <w:sz w:val="18"/>
      <w:szCs w:val="18"/>
    </w:rPr>
  </w:style>
  <w:style w:type="character" w:customStyle="1" w:styleId="12">
    <w:name w:val="页脚 Char"/>
    <w:basedOn w:val="8"/>
    <w:link w:val="4"/>
    <w:qFormat/>
    <w:uiPriority w:val="99"/>
    <w:rPr>
      <w:rFonts w:ascii="Calibri" w:hAnsi="Calibri" w:eastAsia="宋体" w:cs="Times New Roman"/>
      <w:sz w:val="18"/>
      <w:szCs w:val="18"/>
    </w:rPr>
  </w:style>
  <w:style w:type="character" w:customStyle="1" w:styleId="13">
    <w:name w:val="日期 Char"/>
    <w:basedOn w:val="8"/>
    <w:link w:val="2"/>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416</Words>
  <Characters>2376</Characters>
  <Lines>19</Lines>
  <Paragraphs>5</Paragraphs>
  <TotalTime>1</TotalTime>
  <ScaleCrop>false</ScaleCrop>
  <LinksUpToDate>false</LinksUpToDate>
  <CharactersWithSpaces>2787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2012-12-31T16:30:00Z</dcterms:created>
  <dc:creator>jiangdw</dc:creator>
  <cp:lastModifiedBy>SY</cp:lastModifiedBy>
  <dcterms:modified xsi:type="dcterms:W3CDTF">2020-11-18T04:26:58Z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